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Савдянского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>сельского</w:t>
      </w:r>
      <w:proofErr w:type="gramEnd"/>
      <w:r w:rsidR="00076660" w:rsidRPr="00D45AD5">
        <w:rPr>
          <w:sz w:val="28"/>
          <w:szCs w:val="28"/>
        </w:rPr>
        <w:t xml:space="preserve"> поселения </w:t>
      </w:r>
    </w:p>
    <w:p w14:paraId="7B4995CF" w14:textId="5970E35D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356FF0">
        <w:rPr>
          <w:sz w:val="28"/>
          <w:szCs w:val="28"/>
        </w:rPr>
        <w:t>2</w:t>
      </w:r>
      <w:r w:rsidR="00133327">
        <w:rPr>
          <w:sz w:val="28"/>
          <w:szCs w:val="28"/>
        </w:rPr>
        <w:t>3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r w:rsidR="00D07144">
        <w:rPr>
          <w:sz w:val="28"/>
          <w:szCs w:val="28"/>
        </w:rPr>
        <w:t>Савдянского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</w:t>
      </w:r>
      <w:proofErr w:type="gramStart"/>
      <w:r w:rsidRPr="00D45AD5">
        <w:rPr>
          <w:sz w:val="28"/>
          <w:szCs w:val="28"/>
        </w:rPr>
        <w:t>на местном уровне</w:t>
      </w:r>
      <w:proofErr w:type="gramEnd"/>
      <w:r w:rsidRPr="00D45AD5">
        <w:rPr>
          <w:sz w:val="28"/>
          <w:szCs w:val="28"/>
        </w:rPr>
        <w:t xml:space="preserve">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233770C6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решениями</w:t>
      </w:r>
      <w:r w:rsidRPr="0003790E">
        <w:rPr>
          <w:sz w:val="28"/>
          <w:szCs w:val="28"/>
        </w:rPr>
        <w:t xml:space="preserve"> Собрания депутатов </w:t>
      </w:r>
      <w:proofErr w:type="gramStart"/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1C72E9">
        <w:rPr>
          <w:bCs/>
          <w:lang w:eastAsia="en-US"/>
        </w:rPr>
        <w:t>28.11.2019</w:t>
      </w:r>
      <w:r w:rsidR="001C72E9" w:rsidRPr="00593F38">
        <w:rPr>
          <w:bCs/>
          <w:lang w:eastAsia="en-US"/>
        </w:rPr>
        <w:t xml:space="preserve"> № </w:t>
      </w:r>
      <w:r w:rsidR="001C72E9">
        <w:rPr>
          <w:bCs/>
          <w:lang w:eastAsia="en-US"/>
        </w:rPr>
        <w:t xml:space="preserve">76 </w:t>
      </w:r>
      <w:r w:rsidR="00F65B44">
        <w:rPr>
          <w:sz w:val="28"/>
          <w:szCs w:val="28"/>
        </w:rPr>
        <w:t xml:space="preserve">«О земельном налоге»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proofErr w:type="gramStart"/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proofErr w:type="gramStart"/>
      <w:r w:rsidRPr="003E35BA">
        <w:rPr>
          <w:bCs/>
          <w:color w:val="000000"/>
          <w:sz w:val="28"/>
          <w:szCs w:val="28"/>
          <w:lang w:eastAsia="en-US"/>
        </w:rPr>
        <w:t>Граждане</w:t>
      </w:r>
      <w:proofErr w:type="gramEnd"/>
      <w:r w:rsidRPr="003E35BA">
        <w:rPr>
          <w:bCs/>
          <w:color w:val="000000"/>
          <w:sz w:val="28"/>
          <w:szCs w:val="28"/>
          <w:lang w:eastAsia="en-US"/>
        </w:rPr>
        <w:t xml:space="preserve">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7475D92D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1C72E9">
        <w:rPr>
          <w:iCs/>
          <w:sz w:val="28"/>
          <w:szCs w:val="28"/>
        </w:rPr>
        <w:t>1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</w:t>
      </w:r>
      <w:proofErr w:type="gramStart"/>
      <w:r w:rsidRPr="00F8777A">
        <w:rPr>
          <w:sz w:val="28"/>
          <w:szCs w:val="28"/>
        </w:rPr>
        <w:t xml:space="preserve">полного  </w:t>
      </w:r>
      <w:r w:rsidR="00F65B44">
        <w:rPr>
          <w:sz w:val="28"/>
          <w:szCs w:val="28"/>
        </w:rPr>
        <w:t>(</w:t>
      </w:r>
      <w:proofErr w:type="gramEnd"/>
      <w:r w:rsidR="00F65B44">
        <w:rPr>
          <w:sz w:val="28"/>
          <w:szCs w:val="28"/>
        </w:rPr>
        <w:t xml:space="preserve">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</w:t>
      </w:r>
      <w:r w:rsidR="00F65B44">
        <w:rPr>
          <w:sz w:val="28"/>
          <w:szCs w:val="28"/>
        </w:rPr>
        <w:lastRenderedPageBreak/>
        <w:t xml:space="preserve">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</w:t>
      </w:r>
      <w:proofErr w:type="gramStart"/>
      <w:r w:rsidRPr="00F8777A">
        <w:rPr>
          <w:sz w:val="28"/>
          <w:szCs w:val="28"/>
          <w:lang w:val="x-none" w:eastAsia="x-none"/>
        </w:rPr>
        <w:t xml:space="preserve">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</w:t>
      </w:r>
      <w:proofErr w:type="gramEnd"/>
      <w:r w:rsidRPr="00F8777A">
        <w:rPr>
          <w:sz w:val="28"/>
          <w:szCs w:val="28"/>
          <w:lang w:val="x-none" w:eastAsia="x-none"/>
        </w:rPr>
        <w:t xml:space="preserve">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Савдянского</w:t>
      </w:r>
      <w:r w:rsidRPr="00F34433">
        <w:rPr>
          <w:sz w:val="28"/>
          <w:szCs w:val="28"/>
        </w:rPr>
        <w:t xml:space="preserve"> сельского поселения </w:t>
      </w:r>
    </w:p>
    <w:p w14:paraId="4D5E98CC" w14:textId="5E96C903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</w:t>
      </w:r>
      <w:r w:rsidR="00356FF0">
        <w:rPr>
          <w:sz w:val="28"/>
          <w:szCs w:val="28"/>
        </w:rPr>
        <w:t>2</w:t>
      </w:r>
      <w:r w:rsidR="00133327">
        <w:rPr>
          <w:sz w:val="28"/>
          <w:szCs w:val="28"/>
        </w:rPr>
        <w:t>3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133327">
        <w:rPr>
          <w:sz w:val="28"/>
          <w:szCs w:val="28"/>
        </w:rPr>
        <w:t>17</w:t>
      </w:r>
      <w:r>
        <w:rPr>
          <w:sz w:val="28"/>
          <w:szCs w:val="28"/>
        </w:rPr>
        <w:t>.07.202</w:t>
      </w:r>
      <w:r w:rsidR="00133327">
        <w:rPr>
          <w:sz w:val="28"/>
          <w:szCs w:val="28"/>
        </w:rPr>
        <w:t>4</w:t>
      </w:r>
      <w:r>
        <w:rPr>
          <w:sz w:val="28"/>
          <w:szCs w:val="28"/>
        </w:rPr>
        <w:t>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r>
              <w:t>Савдянского</w:t>
            </w:r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</w:p>
          <w:p w14:paraId="79B47018" w14:textId="58D44BAC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28571B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.11.201</w:t>
            </w:r>
            <w:r w:rsidR="0028571B">
              <w:rPr>
                <w:bCs/>
                <w:lang w:eastAsia="en-US"/>
              </w:rPr>
              <w:t>9</w:t>
            </w:r>
            <w:r w:rsidRPr="00593F38">
              <w:rPr>
                <w:bCs/>
                <w:lang w:eastAsia="en-US"/>
              </w:rPr>
              <w:t xml:space="preserve"> № </w:t>
            </w:r>
            <w:r w:rsidR="0028571B">
              <w:rPr>
                <w:bCs/>
                <w:lang w:eastAsia="en-US"/>
              </w:rPr>
              <w:t>76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5B52B353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</w:t>
            </w:r>
            <w:r w:rsidR="0028571B">
              <w:t>- в отношении одного земельного участка по выбору налогоплательщика.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t>соответствует</w:t>
            </w:r>
          </w:p>
        </w:tc>
        <w:tc>
          <w:tcPr>
            <w:tcW w:w="2835" w:type="dxa"/>
          </w:tcPr>
          <w:p w14:paraId="28D6D3FE" w14:textId="54B17552" w:rsidR="00AD05BA" w:rsidRPr="00F34433" w:rsidRDefault="0028571B" w:rsidP="00F12557">
            <w:pPr>
              <w:jc w:val="center"/>
            </w:pPr>
            <w:r>
              <w:t>1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5705BC4B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6EA94863" w14:textId="6EE0598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B9ECCA0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2332E67" w14:textId="713F90AE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>
              <w:t>Савдянского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>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AC9A43B" w14:textId="6F50AEB0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315FF9D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68F31FEE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Савдянского сельского поселения                                       </w:t>
      </w:r>
      <w:proofErr w:type="spellStart"/>
      <w:r w:rsidR="00F03ED9">
        <w:rPr>
          <w:sz w:val="28"/>
          <w:szCs w:val="28"/>
        </w:rPr>
        <w:t>Д.П.Громенко</w:t>
      </w:r>
      <w:proofErr w:type="spellEnd"/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33327"/>
    <w:rsid w:val="00144D42"/>
    <w:rsid w:val="001C72E9"/>
    <w:rsid w:val="0020588B"/>
    <w:rsid w:val="0027096E"/>
    <w:rsid w:val="0028571B"/>
    <w:rsid w:val="00356FF0"/>
    <w:rsid w:val="003E35BA"/>
    <w:rsid w:val="00452B74"/>
    <w:rsid w:val="0049713D"/>
    <w:rsid w:val="004D4FAF"/>
    <w:rsid w:val="006346EE"/>
    <w:rsid w:val="00655C4F"/>
    <w:rsid w:val="0075484F"/>
    <w:rsid w:val="00783891"/>
    <w:rsid w:val="007E678A"/>
    <w:rsid w:val="007F75B5"/>
    <w:rsid w:val="0085607C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03ED9"/>
    <w:rsid w:val="00F65B4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2021-02-19T07:13:00Z</cp:lastPrinted>
  <dcterms:created xsi:type="dcterms:W3CDTF">2025-02-14T09:27:00Z</dcterms:created>
  <dcterms:modified xsi:type="dcterms:W3CDTF">2025-02-14T09:27:00Z</dcterms:modified>
</cp:coreProperties>
</file>