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header2.xml" ContentType="application/vnd.openxmlformats-officedocument.wordprocessingml.header+xml"/>
  <Override PartName="/word/media/image1.png" ContentType="image/png"/>
  <Override PartName="/word/media/image3.png" ContentType="image/png"/>
  <Override PartName="/word/media/image2.wmf" ContentType="image/x-wmf"/>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5939790" cy="842200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39790" cy="8422005"/>
                    </a:xfrm>
                    <a:prstGeom prst="rect">
                      <a:avLst/>
                    </a:prstGeom>
                  </pic:spPr>
                </pic:pic>
              </a:graphicData>
            </a:graphic>
          </wp:anchor>
        </w:drawing>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left="34" w:hanging="0"/>
        <w:jc w:val="center"/>
        <w:rPr>
          <w:rFonts w:ascii="Times New Roman" w:hAnsi="Times New Roman" w:eastAsia="Calibri" w:cs="Times New Roman"/>
          <w:b/>
          <w:b/>
          <w:color w:val="000000" w:themeColor="text1"/>
          <w:sz w:val="36"/>
          <w:szCs w:val="36"/>
          <w:lang w:eastAsia="en-US"/>
        </w:rPr>
      </w:pPr>
      <w:r>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eastAsia="Calibri" w:cs="Times New Roman"/>
          <w:b/>
          <w:b/>
          <w:color w:val="000000" w:themeColor="text1"/>
          <w:sz w:val="28"/>
          <w:szCs w:val="28"/>
          <w:lang w:eastAsia="en-US"/>
        </w:rPr>
      </w:pPr>
      <w:r>
        <w:rPr/>
      </w:r>
      <w:r>
        <w:br w:type="page"/>
      </w:r>
    </w:p>
    <w:p>
      <w:pPr>
        <w:pStyle w:val="Normal"/>
        <w:spacing w:before="0" w:after="0"/>
        <w:jc w:val="center"/>
        <w:rPr>
          <w:rFonts w:ascii="Times New Roman" w:hAnsi="Times New Roman" w:eastAsia="Calibri" w:cs="Times New Roman"/>
          <w:b/>
          <w:b/>
          <w:color w:val="000000" w:themeColor="text1"/>
          <w:sz w:val="28"/>
          <w:szCs w:val="28"/>
          <w:lang w:eastAsia="en-US"/>
        </w:rPr>
      </w:pPr>
      <w:r>
        <w:rPr>
          <w:rFonts w:eastAsia="Calibri" w:cs="Times New Roman" w:ascii="Times New Roman" w:hAnsi="Times New Roman"/>
          <w:b/>
          <w:color w:val="000000" w:themeColor="text1"/>
          <w:sz w:val="28"/>
          <w:szCs w:val="28"/>
          <w:lang w:eastAsia="en-US"/>
        </w:rPr>
        <w:t>СОДЕРЖАНИЕ</w:t>
      </w:r>
    </w:p>
    <w:p>
      <w:pPr>
        <w:pStyle w:val="Normal"/>
        <w:spacing w:lineRule="auto" w:line="360" w:before="0" w:after="0"/>
        <w:jc w:val="center"/>
        <w:rPr/>
      </w:pPr>
      <w:r>
        <w:rPr/>
      </w:r>
    </w:p>
    <w:p>
      <w:pPr>
        <w:pStyle w:val="12"/>
        <w:jc w:val="both"/>
        <w:rPr>
          <w:rFonts w:ascii="Times New Roman" w:hAnsi="Times New Roman" w:cs="Times New Roman"/>
          <w:sz w:val="28"/>
          <w:szCs w:val="28"/>
        </w:rPr>
      </w:pPr>
      <w:r>
        <w:fldChar w:fldCharType="begin"/>
      </w:r>
      <w:r>
        <w:rPr>
          <w:sz w:val="28"/>
          <w:szCs w:val="28"/>
          <w:bCs/>
          <w:rFonts w:eastAsia="Times New Roman" w:cs="Times New Roman" w:ascii="Times New Roman" w:hAnsi="Times New Roman"/>
        </w:rPr>
        <w:instrText> TOC \o "1-1" \u </w:instrText>
      </w:r>
      <w:r>
        <w:rPr>
          <w:sz w:val="28"/>
          <w:szCs w:val="28"/>
          <w:bCs/>
          <w:rFonts w:eastAsia="Times New Roman" w:cs="Times New Roman" w:ascii="Times New Roman" w:hAnsi="Times New Roman"/>
        </w:rPr>
        <w:fldChar w:fldCharType="separate"/>
      </w:r>
      <w:r>
        <w:rPr>
          <w:rFonts w:eastAsia="Times New Roman" w:cs="Times New Roman" w:ascii="Times New Roman" w:hAnsi="Times New Roman"/>
          <w:bCs/>
          <w:color w:val="000000" w:themeColor="text1"/>
          <w:sz w:val="28"/>
          <w:szCs w:val="28"/>
        </w:rPr>
        <w:t>Введение</w:t>
      </w:r>
      <w:r>
        <w:rPr>
          <w:rFonts w:cs="Times New Roman" w:ascii="Times New Roman" w:hAnsi="Times New Roman"/>
          <w:sz w:val="28"/>
          <w:szCs w:val="28"/>
        </w:rPr>
        <w:tab/>
        <w:t>3</w:t>
      </w:r>
    </w:p>
    <w:p>
      <w:pPr>
        <w:pStyle w:val="12"/>
        <w:jc w:val="both"/>
        <w:rPr>
          <w:rFonts w:ascii="Times New Roman" w:hAnsi="Times New Roman" w:cs="Times New Roman"/>
          <w:sz w:val="28"/>
          <w:szCs w:val="28"/>
        </w:rPr>
      </w:pPr>
      <w:r>
        <w:rPr>
          <w:rFonts w:eastAsia="Times New Roman" w:cs="Times New Roman" w:ascii="Times New Roman" w:hAnsi="Times New Roman"/>
          <w:bCs/>
          <w:color w:val="000000" w:themeColor="text1"/>
          <w:sz w:val="28"/>
          <w:szCs w:val="28"/>
        </w:rPr>
        <w:t>1. Общая характеристика объекта независимой оценки качества условий оказания услуг организациями культуры</w:t>
      </w:r>
      <w:r>
        <w:rPr>
          <w:rFonts w:cs="Times New Roman" w:ascii="Times New Roman" w:hAnsi="Times New Roman"/>
          <w:sz w:val="28"/>
          <w:szCs w:val="28"/>
        </w:rPr>
        <w:tab/>
        <w:t>13</w:t>
      </w:r>
    </w:p>
    <w:p>
      <w:pPr>
        <w:pStyle w:val="12"/>
        <w:jc w:val="both"/>
        <w:rPr>
          <w:rFonts w:ascii="Times New Roman" w:hAnsi="Times New Roman" w:cs="Times New Roman"/>
          <w:sz w:val="28"/>
          <w:szCs w:val="28"/>
        </w:rPr>
      </w:pPr>
      <w:r>
        <w:rPr>
          <w:rFonts w:eastAsia="Times New Roman" w:cs="Times New Roman" w:ascii="Times New Roman" w:hAnsi="Times New Roman"/>
          <w:bCs/>
          <w:color w:val="000000" w:themeColor="text1"/>
          <w:sz w:val="28"/>
          <w:szCs w:val="28"/>
        </w:rPr>
        <w:t>2. Описание выборки социологического опроса получателей услуг, предоставляемых организацией культуры</w:t>
      </w:r>
      <w:r>
        <w:rPr>
          <w:rFonts w:cs="Times New Roman" w:ascii="Times New Roman" w:hAnsi="Times New Roman"/>
          <w:sz w:val="28"/>
          <w:szCs w:val="28"/>
        </w:rPr>
        <w:tab/>
        <w:t>14</w:t>
      </w:r>
    </w:p>
    <w:p>
      <w:pPr>
        <w:pStyle w:val="12"/>
        <w:jc w:val="both"/>
        <w:rPr>
          <w:rFonts w:ascii="Times New Roman" w:hAnsi="Times New Roman" w:cs="Times New Roman"/>
          <w:sz w:val="28"/>
          <w:szCs w:val="28"/>
        </w:rPr>
      </w:pPr>
      <w:r>
        <w:rPr>
          <w:rFonts w:eastAsia="Times New Roman" w:cs="Times New Roman" w:ascii="Times New Roman" w:hAnsi="Times New Roman"/>
          <w:bCs/>
          <w:color w:val="000000" w:themeColor="text1"/>
          <w:sz w:val="28"/>
          <w:szCs w:val="28"/>
        </w:rPr>
        <w:t>3. Показатели открытости и доступности информации об организации культуры</w:t>
      </w:r>
      <w:r>
        <w:rPr>
          <w:rFonts w:cs="Times New Roman" w:ascii="Times New Roman" w:hAnsi="Times New Roman"/>
          <w:sz w:val="28"/>
          <w:szCs w:val="28"/>
        </w:rPr>
        <w:tab/>
        <w:t>16</w:t>
      </w:r>
    </w:p>
    <w:p>
      <w:pPr>
        <w:pStyle w:val="12"/>
        <w:jc w:val="both"/>
        <w:rPr>
          <w:rFonts w:ascii="Times New Roman" w:hAnsi="Times New Roman" w:cs="Times New Roman"/>
          <w:sz w:val="28"/>
          <w:szCs w:val="28"/>
        </w:rPr>
      </w:pPr>
      <w:r>
        <w:rPr>
          <w:rFonts w:eastAsia="Times New Roman" w:cs="Times New Roman" w:ascii="Times New Roman" w:hAnsi="Times New Roman"/>
          <w:bCs/>
          <w:color w:val="000000" w:themeColor="text1"/>
          <w:sz w:val="28"/>
          <w:szCs w:val="28"/>
        </w:rPr>
        <w:t>4. Показатели комфортности условий предоставления услуг</w:t>
      </w:r>
      <w:r>
        <w:rPr>
          <w:rFonts w:cs="Times New Roman" w:ascii="Times New Roman" w:hAnsi="Times New Roman"/>
          <w:sz w:val="28"/>
          <w:szCs w:val="28"/>
        </w:rPr>
        <w:tab/>
        <w:t>23</w:t>
      </w:r>
    </w:p>
    <w:p>
      <w:pPr>
        <w:pStyle w:val="12"/>
        <w:jc w:val="both"/>
        <w:rPr>
          <w:rFonts w:ascii="Times New Roman" w:hAnsi="Times New Roman" w:cs="Times New Roman"/>
          <w:sz w:val="28"/>
          <w:szCs w:val="28"/>
        </w:rPr>
      </w:pPr>
      <w:r>
        <w:rPr>
          <w:rFonts w:eastAsia="Times New Roman" w:cs="Times New Roman" w:ascii="Times New Roman" w:hAnsi="Times New Roman"/>
          <w:bCs/>
          <w:color w:val="000000" w:themeColor="text1"/>
          <w:sz w:val="28"/>
          <w:szCs w:val="28"/>
        </w:rPr>
        <w:t>5. Показатели доступности услуг для инвалидов</w:t>
      </w:r>
      <w:r>
        <w:rPr>
          <w:rFonts w:cs="Times New Roman" w:ascii="Times New Roman" w:hAnsi="Times New Roman"/>
          <w:sz w:val="28"/>
          <w:szCs w:val="28"/>
        </w:rPr>
        <w:tab/>
        <w:t>28</w:t>
      </w:r>
    </w:p>
    <w:p>
      <w:pPr>
        <w:pStyle w:val="12"/>
        <w:jc w:val="both"/>
        <w:rPr>
          <w:rFonts w:ascii="Times New Roman" w:hAnsi="Times New Roman" w:cs="Times New Roman"/>
          <w:sz w:val="28"/>
          <w:szCs w:val="28"/>
        </w:rPr>
      </w:pPr>
      <w:r>
        <w:rPr>
          <w:rFonts w:eastAsia="Times New Roman" w:cs="Times New Roman" w:ascii="Times New Roman" w:hAnsi="Times New Roman"/>
          <w:bCs/>
          <w:color w:val="000000" w:themeColor="text1"/>
          <w:sz w:val="28"/>
          <w:szCs w:val="28"/>
        </w:rPr>
        <w:t>6. Показатели доброжелательности и вежливости работников организации культуры</w:t>
      </w:r>
      <w:r>
        <w:rPr>
          <w:rFonts w:cs="Times New Roman" w:ascii="Times New Roman" w:hAnsi="Times New Roman"/>
          <w:sz w:val="28"/>
          <w:szCs w:val="28"/>
        </w:rPr>
        <w:tab/>
        <w:t>35</w:t>
      </w:r>
    </w:p>
    <w:p>
      <w:pPr>
        <w:pStyle w:val="12"/>
        <w:jc w:val="both"/>
        <w:rPr>
          <w:rFonts w:ascii="Times New Roman" w:hAnsi="Times New Roman" w:cs="Times New Roman"/>
          <w:sz w:val="28"/>
          <w:szCs w:val="28"/>
        </w:rPr>
      </w:pPr>
      <w:r>
        <w:rPr>
          <w:rFonts w:eastAsia="Times New Roman" w:cs="Times New Roman" w:ascii="Times New Roman" w:hAnsi="Times New Roman"/>
          <w:bCs/>
          <w:color w:val="000000" w:themeColor="text1"/>
          <w:sz w:val="28"/>
          <w:szCs w:val="28"/>
        </w:rPr>
        <w:t>7.</w:t>
      </w:r>
      <w:r>
        <w:rPr>
          <w:rFonts w:eastAsia="Times New Roman" w:cs="Times New Roman" w:ascii="Times New Roman" w:hAnsi="Times New Roman"/>
          <w:bCs/>
          <w:color w:val="000000" w:themeColor="text1"/>
          <w:sz w:val="28"/>
          <w:szCs w:val="28"/>
          <w:lang w:val="en-US"/>
        </w:rPr>
        <w:t> </w:t>
      </w:r>
      <w:r>
        <w:rPr>
          <w:rFonts w:eastAsia="Times New Roman" w:cs="Times New Roman" w:ascii="Times New Roman" w:hAnsi="Times New Roman"/>
          <w:bCs/>
          <w:color w:val="000000" w:themeColor="text1"/>
          <w:sz w:val="28"/>
          <w:szCs w:val="28"/>
        </w:rPr>
        <w:t>Показатели удовлетворенности условиями оказания услуг, предоставляемых организацией культуры</w:t>
      </w:r>
      <w:r>
        <w:rPr>
          <w:rFonts w:cs="Times New Roman" w:ascii="Times New Roman" w:hAnsi="Times New Roman"/>
          <w:sz w:val="28"/>
          <w:szCs w:val="28"/>
        </w:rPr>
        <w:tab/>
        <w:t>38</w:t>
      </w:r>
    </w:p>
    <w:p>
      <w:pPr>
        <w:pStyle w:val="12"/>
        <w:jc w:val="both"/>
        <w:rPr>
          <w:rFonts w:ascii="Times New Roman" w:hAnsi="Times New Roman" w:cs="Times New Roman"/>
          <w:sz w:val="28"/>
          <w:szCs w:val="28"/>
        </w:rPr>
      </w:pPr>
      <w:r>
        <w:rPr>
          <w:rFonts w:eastAsia="Times New Roman" w:cs="Times New Roman" w:ascii="Times New Roman" w:hAnsi="Times New Roman"/>
          <w:bCs/>
          <w:color w:val="000000" w:themeColor="text1"/>
          <w:sz w:val="28"/>
          <w:szCs w:val="28"/>
        </w:rPr>
        <w:t>8. Заключение</w:t>
      </w:r>
      <w:r>
        <w:rPr>
          <w:rFonts w:cs="Times New Roman" w:ascii="Times New Roman" w:hAnsi="Times New Roman"/>
          <w:sz w:val="28"/>
          <w:szCs w:val="28"/>
        </w:rPr>
        <w:tab/>
        <w:t>42</w:t>
      </w:r>
    </w:p>
    <w:p>
      <w:pPr>
        <w:pStyle w:val="12"/>
        <w:jc w:val="both"/>
        <w:rPr>
          <w:rFonts w:ascii="Times New Roman" w:hAnsi="Times New Roman" w:cs="Times New Roman"/>
          <w:sz w:val="28"/>
          <w:szCs w:val="28"/>
        </w:rPr>
      </w:pPr>
      <w:r>
        <w:rPr>
          <w:rFonts w:eastAsia="Times New Roman" w:cs="Times New Roman" w:ascii="Times New Roman" w:hAnsi="Times New Roman"/>
          <w:bCs/>
          <w:color w:val="000000" w:themeColor="text1"/>
          <w:sz w:val="28"/>
          <w:szCs w:val="28"/>
        </w:rPr>
        <w:t>9. Выводы и предложения по совершенствованию деятельности организации культуры</w:t>
      </w:r>
      <w:r>
        <w:rPr>
          <w:rFonts w:cs="Times New Roman" w:ascii="Times New Roman" w:hAnsi="Times New Roman"/>
          <w:sz w:val="28"/>
          <w:szCs w:val="28"/>
        </w:rPr>
        <w:tab/>
        <w:t>45</w:t>
      </w:r>
    </w:p>
    <w:p>
      <w:pPr>
        <w:pStyle w:val="12"/>
        <w:jc w:val="both"/>
        <w:rPr>
          <w:rFonts w:ascii="Times New Roman" w:hAnsi="Times New Roman" w:cs="Times New Roman"/>
          <w:sz w:val="28"/>
          <w:szCs w:val="28"/>
        </w:rPr>
      </w:pPr>
      <w:r>
        <w:rPr>
          <w:rFonts w:eastAsia="Times New Roman" w:cs="Times New Roman" w:ascii="Times New Roman" w:hAnsi="Times New Roman"/>
          <w:bCs/>
          <w:color w:val="000000" w:themeColor="text1"/>
          <w:sz w:val="28"/>
          <w:szCs w:val="28"/>
        </w:rPr>
        <w:t>Приложения</w:t>
      </w:r>
      <w:r>
        <w:rPr>
          <w:rFonts w:cs="Times New Roman" w:ascii="Times New Roman" w:hAnsi="Times New Roman"/>
          <w:sz w:val="28"/>
          <w:szCs w:val="28"/>
        </w:rPr>
        <w:tab/>
        <w:t>53</w:t>
      </w:r>
    </w:p>
    <w:p>
      <w:pPr>
        <w:pStyle w:val="Normal"/>
        <w:spacing w:lineRule="auto" w:line="36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rPr>
          <w:sz w:val="28"/>
          <w:szCs w:val="28"/>
          <w:rFonts w:cs="Times New Roman" w:ascii="Times New Roman" w:hAnsi="Times New Roman"/>
        </w:rPr>
        <w:fldChar w:fldCharType="end"/>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keepNext w:val="true"/>
        <w:keepLines/>
        <w:numPr>
          <w:ilvl w:val="0"/>
          <w:numId w:val="0"/>
        </w:numPr>
        <w:spacing w:lineRule="auto" w:line="240" w:before="0" w:after="0"/>
        <w:ind w:hanging="0"/>
        <w:jc w:val="center"/>
        <w:outlineLvl w:val="0"/>
        <w:rPr>
          <w:rFonts w:ascii="Times New Roman" w:hAnsi="Times New Roman" w:eastAsia="Times New Roman" w:cs="Times New Roman"/>
          <w:b/>
          <w:b/>
          <w:bCs/>
          <w:color w:val="000000" w:themeColor="text1"/>
          <w:sz w:val="28"/>
          <w:szCs w:val="28"/>
        </w:rPr>
      </w:pPr>
      <w:bookmarkStart w:id="0" w:name="_Toc58223939"/>
      <w:bookmarkStart w:id="1" w:name="_Toc57800857"/>
      <w:bookmarkStart w:id="2" w:name="_Toc468106510"/>
      <w:bookmarkStart w:id="3" w:name="_Toc455479794"/>
      <w:r>
        <w:rPr>
          <w:rFonts w:eastAsia="Times New Roman" w:cs="Times New Roman" w:ascii="Times New Roman" w:hAnsi="Times New Roman"/>
          <w:b/>
          <w:bCs/>
          <w:color w:val="000000" w:themeColor="text1"/>
          <w:sz w:val="28"/>
          <w:szCs w:val="28"/>
        </w:rPr>
        <w:t>Введение</w:t>
      </w:r>
      <w:bookmarkEnd w:id="0"/>
      <w:bookmarkEnd w:id="1"/>
      <w:bookmarkEnd w:id="2"/>
      <w:bookmarkEnd w:id="3"/>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b/>
          <w:b/>
          <w:color w:val="000000" w:themeColor="text1"/>
          <w:sz w:val="28"/>
          <w:szCs w:val="28"/>
        </w:rPr>
      </w:pPr>
      <w:r>
        <w:rPr>
          <w:rFonts w:eastAsia="Calibri" w:cs="Times New Roman" w:ascii="Times New Roman" w:hAnsi="Times New Roman"/>
          <w:b/>
          <w:color w:val="000000" w:themeColor="text1"/>
          <w:sz w:val="28"/>
          <w:szCs w:val="28"/>
        </w:rPr>
        <w:t>1)</w:t>
      </w:r>
      <w:r>
        <w:rPr>
          <w:rFonts w:eastAsia="Calibri" w:cs="Times New Roman" w:ascii="Times New Roman" w:hAnsi="Times New Roman"/>
          <w:b/>
          <w:color w:val="000000" w:themeColor="text1"/>
          <w:sz w:val="28"/>
          <w:szCs w:val="28"/>
          <w:lang w:val="en-US"/>
        </w:rPr>
        <w:t> </w:t>
      </w:r>
      <w:r>
        <w:rPr>
          <w:rFonts w:eastAsia="Calibri" w:cs="Times New Roman" w:ascii="Times New Roman" w:hAnsi="Times New Roman"/>
          <w:b/>
          <w:color w:val="000000" w:themeColor="text1"/>
          <w:sz w:val="28"/>
          <w:szCs w:val="28"/>
        </w:rPr>
        <w:t>Цель и содержание независимой оценки качества условий оказания услуг организациями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Независимая оценка качества условий оказания услуг организациями культуры (далее – НОКУОУОК) является одной из форм общественного контроля и проводится в целях предоставления гражданам информации о качестве условий оказания услуг организациями культуры (далее – ОК), а также в целях повышения качества их деятельности.</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b/>
          <w:b/>
          <w:color w:val="000000" w:themeColor="text1"/>
          <w:sz w:val="28"/>
          <w:szCs w:val="28"/>
          <w:lang w:eastAsia="en-US"/>
        </w:rPr>
      </w:pPr>
      <w:r>
        <w:rPr>
          <w:rFonts w:eastAsia="Calibri" w:cs="Times New Roman" w:ascii="Times New Roman" w:hAnsi="Times New Roman"/>
          <w:b/>
          <w:color w:val="000000" w:themeColor="text1"/>
          <w:sz w:val="28"/>
          <w:szCs w:val="28"/>
          <w:lang w:eastAsia="en-US"/>
        </w:rPr>
        <w:t>2)</w:t>
      </w:r>
      <w:r>
        <w:rPr>
          <w:rFonts w:eastAsia="Calibri" w:cs="Times New Roman" w:ascii="Times New Roman" w:hAnsi="Times New Roman"/>
          <w:b/>
          <w:color w:val="000000" w:themeColor="text1"/>
          <w:sz w:val="28"/>
          <w:szCs w:val="28"/>
          <w:lang w:val="en-US" w:eastAsia="en-US"/>
        </w:rPr>
        <w:t> </w:t>
      </w:r>
      <w:r>
        <w:rPr>
          <w:rFonts w:eastAsia="Calibri" w:cs="Times New Roman" w:ascii="Times New Roman" w:hAnsi="Times New Roman"/>
          <w:b/>
          <w:color w:val="000000" w:themeColor="text1"/>
          <w:sz w:val="28"/>
          <w:szCs w:val="28"/>
          <w:lang w:eastAsia="en-US"/>
        </w:rPr>
        <w:t>Область применения</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НОКУОУОК осуществляется в целях: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1) повышения качества и доступности услуг организаций культуры для потребителей;</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2) улучшения информированности потребителей о качестве деятельности организаций, оказывающих услуги в сфере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3) стимулирования повышения качества деятельности организаций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Использование результатов НОКУОУОК способствует:</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1) принятию потребителями услуг обоснованного решения при выборе конкретной организации культуры для получения необходимой услуги;</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2) установлению коммуникаций между организациями культуры и потребителями услуг;</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3) разработке и реализации планов по улучшению качества работы организаций культуры.</w:t>
      </w:r>
    </w:p>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r>
        <w:br w:type="page"/>
      </w:r>
    </w:p>
    <w:p>
      <w:pPr>
        <w:pStyle w:val="Normal"/>
        <w:spacing w:lineRule="auto" w:line="360" w:before="0" w:after="0"/>
        <w:ind w:firstLine="709"/>
        <w:jc w:val="both"/>
        <w:rPr>
          <w:rFonts w:ascii="Times New Roman" w:hAnsi="Times New Roman" w:eastAsia="Calibri" w:cs="Times New Roman"/>
          <w:b/>
          <w:b/>
          <w:color w:val="000000" w:themeColor="text1"/>
          <w:sz w:val="28"/>
          <w:szCs w:val="28"/>
        </w:rPr>
      </w:pPr>
      <w:r>
        <w:rPr>
          <w:rFonts w:eastAsia="Calibri" w:cs="Times New Roman" w:ascii="Times New Roman" w:hAnsi="Times New Roman"/>
          <w:b/>
          <w:color w:val="000000" w:themeColor="text1"/>
          <w:sz w:val="28"/>
          <w:szCs w:val="28"/>
        </w:rPr>
        <w:t>3)</w:t>
      </w:r>
      <w:r>
        <w:rPr>
          <w:rFonts w:eastAsia="Calibri" w:cs="Times New Roman" w:ascii="Times New Roman" w:hAnsi="Times New Roman"/>
          <w:b/>
          <w:color w:val="000000" w:themeColor="text1"/>
          <w:sz w:val="28"/>
          <w:szCs w:val="28"/>
          <w:lang w:val="en-US"/>
        </w:rPr>
        <w:t> </w:t>
      </w:r>
      <w:r>
        <w:rPr>
          <w:rFonts w:eastAsia="Calibri" w:cs="Times New Roman" w:ascii="Times New Roman" w:hAnsi="Times New Roman"/>
          <w:b/>
          <w:color w:val="000000" w:themeColor="text1"/>
          <w:sz w:val="28"/>
          <w:szCs w:val="28"/>
        </w:rPr>
        <w:t>Нормативно-правовые и инструктивно-методические материалы для проведения НОКУОУОК</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3.1) Закон РФ «Основы законодательства Российской Федерации о культуре» (утв. ВС РФ 09.10.1992 № 3612-1) (Статья 36.1. «Независимая оценка качества оказания услуг организациями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3.2) Постановление Правительства Российской Федерации от 31 мая 2018 г.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3.3) Приказ Минкультуры России от 27.04.2018 № 599 «Об утверждении показателей, характеризующих общие критерии оценки качества условий оказания услуг организациями культуры» (Зарегистрировано в Минюсте России 18.05.2018 № 51132).</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3.4) Приказ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(Зарегистрировано в Минюсте России 08.05.2015 № 37187).</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3.5) Приказ Министерство труда и социальной защиты Российской Федерации № 344н от 31 мая 2018 г.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3.6) Приказ Министерство труда и социальной защиты Российской Федерации № 675н от 30 октября 2018 г.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b/>
          <w:b/>
          <w:color w:val="000000" w:themeColor="text1"/>
          <w:sz w:val="28"/>
          <w:szCs w:val="28"/>
        </w:rPr>
      </w:pPr>
      <w:r>
        <w:rPr>
          <w:rFonts w:eastAsia="Calibri" w:cs="Times New Roman" w:ascii="Times New Roman" w:hAnsi="Times New Roman"/>
          <w:b/>
          <w:color w:val="000000" w:themeColor="text1"/>
          <w:sz w:val="28"/>
          <w:szCs w:val="28"/>
        </w:rPr>
        <w:t>4)</w:t>
      </w:r>
      <w:r>
        <w:rPr>
          <w:rFonts w:eastAsia="Calibri" w:cs="Times New Roman" w:ascii="Times New Roman" w:hAnsi="Times New Roman"/>
          <w:b/>
          <w:color w:val="000000" w:themeColor="text1"/>
          <w:sz w:val="28"/>
          <w:szCs w:val="28"/>
          <w:lang w:val="en-US"/>
        </w:rPr>
        <w:t> </w:t>
      </w:r>
      <w:r>
        <w:rPr>
          <w:rFonts w:eastAsia="Calibri" w:cs="Times New Roman" w:ascii="Times New Roman" w:hAnsi="Times New Roman"/>
          <w:b/>
          <w:color w:val="000000" w:themeColor="text1"/>
          <w:sz w:val="28"/>
          <w:szCs w:val="28"/>
        </w:rPr>
        <w:t>Сроки проведения НОКУОУОК</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Независимая оценка качества оказания услуг организацией культуры проводилась в ноябре-декабре 2020 года.</w:t>
      </w:r>
    </w:p>
    <w:p>
      <w:pPr>
        <w:pStyle w:val="Normal"/>
        <w:spacing w:lineRule="auto" w:line="360" w:before="0" w:after="0"/>
        <w:ind w:firstLine="709"/>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b/>
          <w:b/>
          <w:color w:val="000000" w:themeColor="text1"/>
          <w:sz w:val="28"/>
          <w:szCs w:val="28"/>
        </w:rPr>
      </w:pPr>
      <w:r>
        <w:rPr>
          <w:rFonts w:eastAsia="Calibri" w:cs="Times New Roman" w:ascii="Times New Roman" w:hAnsi="Times New Roman"/>
          <w:b/>
          <w:color w:val="000000" w:themeColor="text1"/>
          <w:sz w:val="28"/>
          <w:szCs w:val="28"/>
        </w:rPr>
        <w:t>5)</w:t>
      </w:r>
      <w:r>
        <w:rPr>
          <w:rFonts w:eastAsia="Calibri" w:cs="Times New Roman" w:ascii="Times New Roman" w:hAnsi="Times New Roman"/>
          <w:b/>
          <w:color w:val="000000" w:themeColor="text1"/>
          <w:sz w:val="28"/>
          <w:szCs w:val="28"/>
          <w:lang w:val="en-US"/>
        </w:rPr>
        <w:t> </w:t>
      </w:r>
      <w:r>
        <w:rPr>
          <w:rFonts w:eastAsia="Calibri" w:cs="Times New Roman" w:ascii="Times New Roman" w:hAnsi="Times New Roman"/>
          <w:b/>
          <w:color w:val="000000" w:themeColor="text1"/>
          <w:sz w:val="28"/>
          <w:szCs w:val="28"/>
        </w:rPr>
        <w:t>Информационная база НОКУОУОК</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В ходе проведения НОКУОУ организациями культуры используются:</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а) Данные информационных стендов и официальных сайтов организаций культуры через просмотр содержимого страниц web-ресурса и информационных стендов с выявлением и фиксацией наличия соответствующей информации, актуальности её содержания, удобства доступа к информации;</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б) Результаты мониторинга наличия условий предоставления услуг;</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в) Данные социологического опроса получателей (потребителей) услуг организаций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b/>
          <w:b/>
          <w:color w:val="000000" w:themeColor="text1"/>
          <w:sz w:val="28"/>
          <w:szCs w:val="28"/>
        </w:rPr>
      </w:pPr>
      <w:r>
        <w:rPr>
          <w:rFonts w:eastAsia="Calibri" w:cs="Times New Roman" w:ascii="Times New Roman" w:hAnsi="Times New Roman"/>
          <w:b/>
          <w:color w:val="000000" w:themeColor="text1"/>
          <w:sz w:val="28"/>
          <w:szCs w:val="28"/>
        </w:rPr>
        <w:t>6)</w:t>
      </w:r>
      <w:r>
        <w:rPr>
          <w:rFonts w:eastAsia="Calibri" w:cs="Times New Roman" w:ascii="Times New Roman" w:hAnsi="Times New Roman"/>
          <w:b/>
          <w:color w:val="000000" w:themeColor="text1"/>
          <w:sz w:val="28"/>
          <w:szCs w:val="28"/>
          <w:lang w:val="en-US"/>
        </w:rPr>
        <w:t> </w:t>
      </w:r>
      <w:r>
        <w:rPr>
          <w:rFonts w:eastAsia="Calibri" w:cs="Times New Roman" w:ascii="Times New Roman" w:hAnsi="Times New Roman"/>
          <w:b/>
          <w:color w:val="000000" w:themeColor="text1"/>
          <w:sz w:val="28"/>
          <w:szCs w:val="28"/>
        </w:rPr>
        <w:t>Критерии независимой оценки качества условий оказания услуг, предоставляемых организациями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В соответствии с Приказом Минкультуры России от 27.04.2018 N 599 «Об утверждении показателей, характеризующих общие критерии оценки качества условий оказания услуг организациями культуры» оценка проводится по пяти основным критериям:</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 открытость и доступность информации об организации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 комфортность условий предоставления услуг;</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 доступность услуг для инвалидов;</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 доброжелательность, вежливость работников организации;</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 удовлетворенность условиями оказания услуг.</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b/>
          <w:b/>
          <w:color w:val="000000" w:themeColor="text1"/>
          <w:sz w:val="28"/>
          <w:szCs w:val="28"/>
        </w:rPr>
      </w:pPr>
      <w:r>
        <w:rPr>
          <w:rFonts w:eastAsia="Calibri" w:cs="Times New Roman" w:ascii="Times New Roman" w:hAnsi="Times New Roman"/>
          <w:b/>
          <w:color w:val="000000" w:themeColor="text1"/>
          <w:sz w:val="28"/>
          <w:szCs w:val="28"/>
        </w:rPr>
        <w:t>7)</w:t>
      </w:r>
      <w:r>
        <w:rPr>
          <w:rFonts w:eastAsia="Calibri" w:cs="Times New Roman" w:ascii="Times New Roman" w:hAnsi="Times New Roman"/>
          <w:b/>
          <w:color w:val="000000" w:themeColor="text1"/>
          <w:sz w:val="28"/>
          <w:szCs w:val="28"/>
          <w:lang w:val="en-US"/>
        </w:rPr>
        <w:t> </w:t>
      </w:r>
      <w:r>
        <w:rPr>
          <w:rFonts w:eastAsia="Calibri" w:cs="Times New Roman" w:ascii="Times New Roman" w:hAnsi="Times New Roman"/>
          <w:b/>
          <w:color w:val="000000" w:themeColor="text1"/>
          <w:sz w:val="28"/>
          <w:szCs w:val="28"/>
        </w:rPr>
        <w:t>Методика сбора и обобщения информации для НОКУОУОК</w:t>
      </w:r>
    </w:p>
    <w:p>
      <w:pPr>
        <w:pStyle w:val="Normal"/>
        <w:spacing w:lineRule="auto" w:line="360" w:before="0" w:after="0"/>
        <w:ind w:firstLine="709"/>
        <w:jc w:val="both"/>
        <w:rPr>
          <w:rFonts w:ascii="Times New Roman" w:hAnsi="Times New Roman"/>
          <w:color w:val="000000" w:themeColor="text1"/>
          <w:sz w:val="28"/>
          <w:szCs w:val="28"/>
        </w:rPr>
      </w:pPr>
      <w:r>
        <w:rPr>
          <w:rFonts w:eastAsia="Calibri" w:cs="Times New Roman" w:ascii="Times New Roman" w:hAnsi="Times New Roman"/>
          <w:color w:val="000000" w:themeColor="text1"/>
          <w:sz w:val="28"/>
          <w:szCs w:val="28"/>
        </w:rPr>
        <w:t xml:space="preserve">Методика предполагает следующий порядок проведения НОКУОУОК </w:t>
      </w:r>
      <w:r>
        <w:rPr>
          <w:rFonts w:ascii="Times New Roman" w:hAnsi="Times New Roman"/>
          <w:color w:val="000000" w:themeColor="text1"/>
          <w:sz w:val="28"/>
          <w:szCs w:val="28"/>
        </w:rPr>
        <w:t>(рисунок 1):</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I. Описание объектов НОКУОУОК (общая характеристика объектов НОКОУОК).</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II. Описание выборки социологического опроса получателей услуг организаций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III. Определение значений показателей открытости и доступности информации об организации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Оценка значений данных показателей для организаций культуры проводится по показателям раздела 1 (Приложение 1) – Открытость и доступность информации об организации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Оценивание значения показателя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осуществляется в форме мониторинга сайта организации культуры и мониторинга размещения информации на информационных стендах в помещении организации.</w:t>
      </w:r>
    </w:p>
    <w:p>
      <w:pPr>
        <w:pStyle w:val="Normal"/>
        <w:spacing w:lineRule="auto" w:line="360" w:before="0" w:after="0"/>
        <w:ind w:firstLine="709"/>
        <w:jc w:val="both"/>
        <w:rPr>
          <w:rFonts w:ascii="Times New Roman" w:hAnsi="Times New Roman"/>
          <w:color w:val="000000" w:themeColor="text1"/>
          <w:sz w:val="28"/>
          <w:szCs w:val="28"/>
        </w:rPr>
      </w:pPr>
      <w:r>
        <w:rPr>
          <w:rFonts w:eastAsia="Calibri" w:cs="Times New Roman" w:ascii="Times New Roman" w:hAnsi="Times New Roman"/>
          <w:color w:val="000000" w:themeColor="text1"/>
          <w:sz w:val="28"/>
          <w:szCs w:val="28"/>
        </w:rPr>
        <w:t xml:space="preserve">Для мониторинга сайтов и информационных стендов используется перечень сведений об организации культуры, которые должны быть представлены на её информационных стендах и на официальном сайте (Приложением 2 – Объем информации (количество материалов / единиц информации) о деятельности организации культуры, которая должна быть размещена на общедоступных информационных ресурсах). Балльная оценка выставляется по результатам мониторинга сайтов и стендов в соответствии правилами, изложенными в Приложении 1 (п. 1.1). </w:t>
      </w:r>
      <w:r>
        <w:br w:type="page"/>
      </w:r>
    </w:p>
    <w:p>
      <w:pPr>
        <w:pStyle w:val="Normal"/>
        <w:spacing w:lineRule="auto" w:line="240" w:before="0" w:after="0"/>
        <w:jc w:val="center"/>
        <w:rPr>
          <w:rFonts w:ascii="Times New Roman" w:hAnsi="Times New Roman" w:eastAsia="Calibri" w:cs="Times New Roman"/>
          <w:color w:val="000000" w:themeColor="text1"/>
          <w:sz w:val="28"/>
          <w:szCs w:val="28"/>
        </w:rPr>
      </w:pPr>
      <w:r>
        <w:rPr/>
        <w:drawing>
          <wp:inline distT="0" distB="0" distL="0" distR="3175">
            <wp:extent cx="5940425" cy="845947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3"/>
                    <a:stretch>
                      <a:fillRect/>
                    </a:stretch>
                  </pic:blipFill>
                  <pic:spPr bwMode="auto">
                    <a:xfrm>
                      <a:off x="0" y="0"/>
                      <a:ext cx="5940425" cy="8459470"/>
                    </a:xfrm>
                    <a:prstGeom prst="rect">
                      <a:avLst/>
                    </a:prstGeom>
                  </pic:spPr>
                </pic:pic>
              </a:graphicData>
            </a:graphic>
          </wp:inline>
        </w:drawing>
      </w:r>
    </w:p>
    <w:p>
      <w:pPr>
        <w:pStyle w:val="Normal"/>
        <w:spacing w:before="0" w:after="0"/>
        <w:jc w:val="center"/>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 xml:space="preserve">Рисунок 1 – Порядок проведения сбора и обобщения информации о качестве условий оказания услуг организациями культуры </w:t>
      </w:r>
      <w:r>
        <w:br w:type="page"/>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Оценивание значения показателя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 осуществляется в форме мониторинга сайта организации культуры. Балльная оценка выставляется по результатам мониторинга сайта в соответствии правилами, изложенными в Приложении 1 (п. 1.2).</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Оценка значения показателя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осуществляется на основе данных социологического опроса получателей (потребителей) услуг организации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При суммировании набранных баллов по показателям раздела «Открытость и доступность информации об организации культуры» получается оценка значения интегрального показателя по разделу 1. Максимально возможное значение интегрального показателя, которое организация культуры может набрать по разделу 1 – 100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IV. Определение значений показателей комфортности условий предоставления услуг. Оценка значений данных показателей для организаций культуры проводится по показателям раздела 2 (Приложение 1) – Комфортность условий предоставления услуг.</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Оценивание раздела 2 проводится по 2-м показателям, характеризующим в совокупности комфортность условий, в которых осуществляется деятельность организаций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Оценивание значения показателя 2.1 «Обеспечение в организации комфортных условий для предоставления услуг» осуществляется в форме мониторинга обеспечения в организации комфортных условий для предоставления услуг. Балльная оценка выставляется в соответствии правилами, изложенными в Приложении 1 (п. 2.1).</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Оценка значения показателя 2.3 «Доля получателей услуг, удовлетворенных комфортностью условий предоставления услуг» осуществляется на основе данных социологического опроса получателей (потребителей) услуг организаций культуры. Балльная оценка выставляется в соответствии правилами, изложенными в Приложении 1 (п. 2.3).</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При суммировании набранных баллов по показателям раздела «Комфортность условий предоставления услуг» получается оценка значения интегрального фактора по разделу 2. Максимально возможное значение интегрального фактора, которое организация культуры может набрать по разделу 2 – 100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V. Определение значений показателей доступности услуг для инвалидов. Оценка значений данных показателей для организаций культуры проводится по показателям раздела 3 (Приложение 1) – Доступность услуг для инвалидов.</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Оценивание раздела 3 проводится по 3-м показателям, характеризующим в совокупности доступность услуг для инвалидов.</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Оценивание значения показателя 3.1 «Оборудование территории, прилегающей к организации, и ее помещений с учетом доступности для инвалидов» осуществляется в форме мониторинга оборудования территории, прилегающей к организации, и её помещений с учетом доступности для инвалидов. Балльная оценка выставляется по правилам, изложенным в Приложении 1 (п. 3.1).</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Оценивание значения показателя 3.2 «Обеспечение в организации условий доступности, позволяющих инвалидам получать услуги наравне с другими» осуществляется в форме мониторинга обеспечения в организации условий доступности, позволяющих инвалидам получать услуги наравне с другими. Балльная оценка выставляется по правилам, изложенным в Приложении 1 (п. 3.2).</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Оценка значения показателя 3.3 «Доля получателей услуг, удовлетворенных доступностью услуг для инвалидов» осуществляется на основе данных социологического опроса получателей (потребителей) услуг-инвалидов организаций культуры. Балльная оценка выставляется в соответствии правилами, изложенными в Приложении 1 (п. 3.3).</w:t>
      </w:r>
    </w:p>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t>При суммировании набранных баллов по показателям раздела «Доступность услуг для инвалидов» получается оценка значения интегрального фактора по разделу 3. Максимально возможное значение интегрального фактора, которое организация культуры может набрать по разделу 3 – 100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VI. Определение значений показателей, касающихся доброжелательности, вежливости работников организации культуры.</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Оценка значений данных показателей для организаций культуры проводится по показателям раздела 4 (Приложение 1) – Доброжелательность, вежливость работников организации.</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Оценивание раздела 4 проводится по 3-м показателям, характеризующим в совокупности удовлетворенность потребителей услуг доброжелательностью и вежливостью персонала организаций культуры.</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Оценка значений показателей раздела 4 осуществляется на основе данных социологического опроса получателей (потребителей) услуг организаций культуры. </w:t>
      </w:r>
      <w:r>
        <w:rPr>
          <w:rFonts w:eastAsia="Calibri" w:cs="Times New Roman" w:ascii="Times New Roman" w:hAnsi="Times New Roman"/>
          <w:color w:val="000000" w:themeColor="text1"/>
          <w:sz w:val="28"/>
          <w:szCs w:val="28"/>
        </w:rPr>
        <w:t>Балльная оценка выставляется в соответствии правилами, изложенными в Приложении 1 (пп. 4.1-4.3).</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При суммировании набранных баллов по показателям раздела «Доброжелательность, вежливость работников организации» получается оценка значения интегрального фактора по разделу 4. Максимально возможное значение интегрального фактора, которое организация культуры может набрать по разделу 4 – 100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VI</w:t>
      </w:r>
      <w:r>
        <w:rPr>
          <w:rFonts w:cs="Times New Roman" w:ascii="Times New Roman" w:hAnsi="Times New Roman"/>
          <w:color w:val="000000" w:themeColor="text1"/>
          <w:sz w:val="28"/>
          <w:szCs w:val="28"/>
          <w:lang w:val="en-US"/>
        </w:rPr>
        <w:t>I</w:t>
      </w:r>
      <w:r>
        <w:rPr>
          <w:rFonts w:cs="Times New Roman" w:ascii="Times New Roman" w:hAnsi="Times New Roman"/>
          <w:color w:val="000000" w:themeColor="text1"/>
          <w:sz w:val="28"/>
          <w:szCs w:val="28"/>
        </w:rPr>
        <w:t>. Определение значений показателей удовлетворенности условиями оказания услуг. Оценка значений данных показателей для организаций культуры проводится по показателям раздела 5 (Приложение 1) – Удовлетворенность условиями оказания услуг.</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Оценивание раздела 5 проводится по 3-м показателям, характеризующим в совокупности удовлетворенность условиями оказания услуг.</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Оценка значений показателей раздела 5 осуществляется на основе данных социологического опроса получателей (потребителей) услуг организаций культуры. </w:t>
      </w:r>
      <w:r>
        <w:rPr>
          <w:rFonts w:eastAsia="Calibri" w:cs="Times New Roman" w:ascii="Times New Roman" w:hAnsi="Times New Roman"/>
          <w:color w:val="000000" w:themeColor="text1"/>
          <w:sz w:val="28"/>
          <w:szCs w:val="28"/>
        </w:rPr>
        <w:t>Балльная оценка выставляется в соответствии правилами, изложенными в Приложении 1 (пп. 5.1-5.3).</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При суммировании набранных баллов по показателям раздела «Удовлетворенность условиями оказания услуг» получается оценка значения интегрального фактора по разделу 5. Максимально возможное значение интегрального фактора, которое организация культуры может набрать по разделу 5 – 100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Итоговое значение </w:t>
      </w:r>
      <w:r>
        <w:rPr>
          <w:rFonts w:cs="Times New Roman" w:ascii="Times New Roman" w:hAnsi="Times New Roman"/>
          <w:i/>
          <w:color w:val="000000" w:themeColor="text1"/>
          <w:sz w:val="28"/>
          <w:szCs w:val="28"/>
        </w:rPr>
        <w:t>интегрального показателя качества</w:t>
      </w:r>
      <w:r>
        <w:rPr>
          <w:rFonts w:cs="Times New Roman" w:ascii="Times New Roman" w:hAnsi="Times New Roman"/>
          <w:color w:val="000000" w:themeColor="text1"/>
          <w:sz w:val="28"/>
          <w:szCs w:val="28"/>
        </w:rPr>
        <w:t xml:space="preserve"> условий </w:t>
      </w:r>
      <w:r>
        <w:rPr>
          <w:rFonts w:eastAsia="Calibri" w:cs="Times New Roman" w:ascii="Times New Roman" w:hAnsi="Times New Roman"/>
          <w:color w:val="000000" w:themeColor="text1"/>
          <w:sz w:val="28"/>
          <w:szCs w:val="28"/>
        </w:rPr>
        <w:t xml:space="preserve">оказания услуг организациями культуры </w:t>
      </w:r>
      <w:r>
        <w:rPr>
          <w:rFonts w:cs="Times New Roman" w:ascii="Times New Roman" w:hAnsi="Times New Roman"/>
          <w:color w:val="000000" w:themeColor="text1"/>
          <w:sz w:val="28"/>
          <w:szCs w:val="28"/>
        </w:rPr>
        <w:t>рассчитывается как сумма значений частных показателей по разделам 1-5 (Приложение 1), которое используется для ранжирования организаций культуры и формулирования выводов.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i/>
          <w:color w:val="000000" w:themeColor="text1"/>
          <w:sz w:val="28"/>
          <w:szCs w:val="28"/>
        </w:rPr>
        <w:t>Показатель (результат) оценки качества</w:t>
      </w:r>
      <w:r>
        <w:rPr>
          <w:rFonts w:cs="Times New Roman" w:ascii="Times New Roman" w:hAnsi="Times New Roman"/>
          <w:color w:val="000000" w:themeColor="text1"/>
          <w:sz w:val="28"/>
          <w:szCs w:val="28"/>
        </w:rPr>
        <w:t xml:space="preserve"> по каждой организации рассчитывается как частное от деления значения интегрального показателя качества на количество разделов (укрупненных показателей) в применяемой методике (т. е., на 5).</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Определение значений ряда показателей по разделам 1-5 осуществляется в рамках проводимого социологического исследования.</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b/>
          <w:color w:val="000000" w:themeColor="text1"/>
          <w:sz w:val="28"/>
          <w:szCs w:val="28"/>
        </w:rPr>
        <w:t>Цель социологического исследования</w:t>
      </w:r>
      <w:r>
        <w:rPr>
          <w:rFonts w:cs="Times New Roman" w:ascii="Times New Roman" w:hAnsi="Times New Roman"/>
          <w:color w:val="000000" w:themeColor="text1"/>
          <w:sz w:val="28"/>
          <w:szCs w:val="28"/>
        </w:rPr>
        <w:t xml:space="preserve"> – выявить оценку потребителями качества условий оказания услуг, предоставляемых муниципальным бюджетным учреждением культуры </w:t>
      </w:r>
      <w:r>
        <w:rPr>
          <w:rFonts w:eastAsia="Times New Roman" w:cs="Times New Roman" w:ascii="Times New Roman" w:hAnsi="Times New Roman"/>
          <w:color w:val="000000" w:themeColor="text1"/>
          <w:sz w:val="28"/>
          <w:szCs w:val="28"/>
        </w:rPr>
        <w:t xml:space="preserve">«Савдянский сельский Дом культуры» </w:t>
      </w:r>
      <w:r>
        <w:rPr>
          <w:rFonts w:cs="Times New Roman" w:ascii="Times New Roman" w:hAnsi="Times New Roman"/>
          <w:color w:val="000000" w:themeColor="text1"/>
          <w:sz w:val="28"/>
          <w:szCs w:val="28"/>
        </w:rPr>
        <w:t>Савдянского сельского поселения Заветинского района Ростовской области.</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b/>
          <w:color w:val="000000" w:themeColor="text1"/>
          <w:sz w:val="28"/>
          <w:szCs w:val="28"/>
        </w:rPr>
        <w:t>Метод опроса</w:t>
      </w:r>
      <w:r>
        <w:rPr>
          <w:rFonts w:cs="Times New Roman" w:ascii="Times New Roman" w:hAnsi="Times New Roman"/>
          <w:color w:val="000000" w:themeColor="text1"/>
          <w:sz w:val="28"/>
          <w:szCs w:val="28"/>
        </w:rPr>
        <w:t xml:space="preserve"> – анкетирование по стандартизированному инструментарию.</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Статистическая обработка информации в данном исследовании осуществляется с помощью программных пакетов </w:t>
      </w:r>
      <w:r>
        <w:rPr>
          <w:rFonts w:ascii="Times New Roman" w:hAnsi="Times New Roman"/>
          <w:color w:val="000000" w:themeColor="text1"/>
          <w:sz w:val="28"/>
          <w:szCs w:val="28"/>
        </w:rPr>
        <w:t>SPSS</w:t>
      </w:r>
      <w:r>
        <w:rPr>
          <w:rFonts w:cs="Times New Roman" w:ascii="Times New Roman" w:hAnsi="Times New Roman"/>
          <w:color w:val="000000" w:themeColor="text1"/>
          <w:sz w:val="28"/>
          <w:szCs w:val="28"/>
        </w:rPr>
        <w:t xml:space="preserve"> и </w:t>
      </w:r>
      <w:r>
        <w:rPr>
          <w:rFonts w:cs="Times New Roman" w:ascii="Times New Roman" w:hAnsi="Times New Roman"/>
          <w:color w:val="000000" w:themeColor="text1"/>
          <w:sz w:val="28"/>
          <w:szCs w:val="28"/>
          <w:lang w:val="en-US"/>
        </w:rPr>
        <w:t>MS</w:t>
      </w:r>
      <w:r>
        <w:rPr>
          <w:rFonts w:cs="Times New Roman" w:ascii="Times New Roman" w:hAnsi="Times New Roman"/>
          <w:color w:val="000000" w:themeColor="text1"/>
          <w:sz w:val="28"/>
          <w:szCs w:val="28"/>
        </w:rPr>
        <w:t xml:space="preserve"> </w:t>
      </w:r>
      <w:r>
        <w:rPr>
          <w:rFonts w:cs="Times New Roman" w:ascii="Times New Roman" w:hAnsi="Times New Roman"/>
          <w:color w:val="000000" w:themeColor="text1"/>
          <w:sz w:val="28"/>
          <w:szCs w:val="28"/>
          <w:lang w:val="en-US"/>
        </w:rPr>
        <w:t>Excel</w:t>
      </w:r>
      <w:r>
        <w:rPr>
          <w:rFonts w:cs="Times New Roman" w:ascii="Times New Roman" w:hAnsi="Times New Roman"/>
          <w:color w:val="000000" w:themeColor="text1"/>
          <w:sz w:val="28"/>
          <w:szCs w:val="28"/>
        </w:rPr>
        <w:t>.</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VI</w:t>
      </w:r>
      <w:r>
        <w:rPr>
          <w:rFonts w:cs="Times New Roman" w:ascii="Times New Roman" w:hAnsi="Times New Roman"/>
          <w:color w:val="000000" w:themeColor="text1"/>
          <w:sz w:val="28"/>
          <w:szCs w:val="28"/>
          <w:lang w:val="en-US"/>
        </w:rPr>
        <w:t>I</w:t>
      </w:r>
      <w:r>
        <w:rPr>
          <w:rFonts w:cs="Times New Roman" w:ascii="Times New Roman" w:hAnsi="Times New Roman"/>
          <w:color w:val="000000" w:themeColor="text1"/>
          <w:sz w:val="28"/>
          <w:szCs w:val="28"/>
        </w:rPr>
        <w:t>I. Формирование итогового аналитического отчета.</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Оператор проведения НОКУОУОК, на основе полученных на этапах I–VII выводов и результатов: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1) Анализирует и обобщает полученные в ходе </w:t>
      </w:r>
      <w:r>
        <w:rPr>
          <w:rFonts w:eastAsia="Calibri" w:cs="Times New Roman" w:ascii="Times New Roman" w:hAnsi="Times New Roman"/>
          <w:color w:val="000000" w:themeColor="text1"/>
          <w:sz w:val="28"/>
          <w:szCs w:val="28"/>
        </w:rPr>
        <w:t>НОКУОУОК</w:t>
      </w:r>
      <w:r>
        <w:rPr>
          <w:rFonts w:cs="Times New Roman" w:ascii="Times New Roman" w:hAnsi="Times New Roman"/>
          <w:color w:val="000000" w:themeColor="text1"/>
          <w:sz w:val="28"/>
          <w:szCs w:val="28"/>
        </w:rPr>
        <w:t xml:space="preserve"> данные.</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2) Составляет итоговый аналитический отчет.</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3) Передает результаты сбора и обобщения информации о качестве условий оказания услуг организациями культуры на рассмотрение заказчика (-ов) исследования.</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Результаты независимой оценки публикуются на сайте (-ах) организации (-ий) культуры – объекте (-ах) оценки и в обобщенном виде – на официальном сайте для размещения информации о государственных (муниципальных) учреждениях </w:t>
      </w:r>
      <w:hyperlink r:id="rId4">
        <w:r>
          <w:rPr>
            <w:rStyle w:val="Style14"/>
            <w:rFonts w:cs="Times New Roman" w:ascii="Times New Roman" w:hAnsi="Times New Roman"/>
            <w:color w:val="000000" w:themeColor="text1"/>
            <w:sz w:val="28"/>
            <w:szCs w:val="28"/>
          </w:rPr>
          <w:t>http://bus.gov.ru</w:t>
        </w:r>
      </w:hyperlink>
      <w:r>
        <w:rPr>
          <w:rFonts w:cs="Times New Roman" w:ascii="Times New Roman" w:hAnsi="Times New Roman"/>
          <w:color w:val="000000" w:themeColor="text1"/>
          <w:sz w:val="28"/>
          <w:szCs w:val="28"/>
        </w:rPr>
        <w:t>.</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keepNext w:val="true"/>
        <w:keepLines/>
        <w:numPr>
          <w:ilvl w:val="0"/>
          <w:numId w:val="0"/>
        </w:numPr>
        <w:spacing w:before="0" w:after="0"/>
        <w:ind w:hanging="0"/>
        <w:jc w:val="center"/>
        <w:outlineLvl w:val="0"/>
        <w:rPr>
          <w:rFonts w:ascii="Times New Roman" w:hAnsi="Times New Roman" w:eastAsia="Times New Roman" w:cs="Times New Roman"/>
          <w:b/>
          <w:b/>
          <w:bCs/>
          <w:color w:val="000000" w:themeColor="text1"/>
          <w:sz w:val="28"/>
          <w:szCs w:val="28"/>
        </w:rPr>
      </w:pPr>
      <w:bookmarkStart w:id="4" w:name="_Toc58223940"/>
      <w:bookmarkStart w:id="5" w:name="_Toc57800858"/>
      <w:bookmarkStart w:id="6" w:name="_Toc468106511"/>
      <w:r>
        <w:rPr>
          <w:rFonts w:eastAsia="Times New Roman" w:cs="Times New Roman" w:ascii="Times New Roman" w:hAnsi="Times New Roman"/>
          <w:b/>
          <w:bCs/>
          <w:color w:val="000000" w:themeColor="text1"/>
          <w:sz w:val="28"/>
          <w:szCs w:val="28"/>
        </w:rPr>
        <w:t>1. Общая характеристика объекта независимой оценки качества</w:t>
      </w:r>
      <w:bookmarkEnd w:id="6"/>
      <w:r>
        <w:rPr>
          <w:rFonts w:eastAsia="Times New Roman" w:cs="Times New Roman" w:ascii="Times New Roman" w:hAnsi="Times New Roman"/>
          <w:b/>
          <w:bCs/>
          <w:color w:val="000000" w:themeColor="text1"/>
          <w:sz w:val="28"/>
          <w:szCs w:val="28"/>
        </w:rPr>
        <w:br/>
        <w:t>условий оказания услуг организациями культуры</w:t>
      </w:r>
      <w:bookmarkEnd w:id="4"/>
      <w:bookmarkEnd w:id="5"/>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Независимая оценка качества условий оказания услуг проведена в следующей организации культуры (таблица 1.1):</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before="0" w:after="0"/>
        <w:jc w:val="center"/>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lang w:eastAsia="en-US"/>
        </w:rPr>
        <w:t xml:space="preserve">Таблица 1.1 – </w:t>
      </w:r>
      <w:r>
        <w:rPr>
          <w:rFonts w:cs="Times New Roman" w:ascii="Times New Roman" w:hAnsi="Times New Roman"/>
          <w:color w:val="000000" w:themeColor="text1"/>
          <w:sz w:val="28"/>
          <w:szCs w:val="28"/>
        </w:rPr>
        <w:t xml:space="preserve">Организация </w:t>
      </w:r>
      <w:r>
        <w:rPr>
          <w:rFonts w:cs="Times New Roman" w:ascii="Times New Roman" w:hAnsi="Times New Roman"/>
          <w:color w:val="000000" w:themeColor="text1"/>
          <w:sz w:val="28"/>
          <w:szCs w:val="28"/>
          <w:shd w:fill="FFFFFF" w:val="clear"/>
        </w:rPr>
        <w:t>культуры Савдянского сельского поселения Заветинского района Ростовской области</w:t>
      </w:r>
      <w:r>
        <w:rPr>
          <w:rFonts w:cs="Times New Roman" w:ascii="Times New Roman" w:hAnsi="Times New Roman"/>
          <w:color w:val="000000" w:themeColor="text1"/>
          <w:sz w:val="28"/>
          <w:szCs w:val="28"/>
        </w:rPr>
        <w:t xml:space="preserve">, участвовавшая в </w:t>
      </w:r>
      <w:r>
        <w:rPr>
          <w:rFonts w:eastAsia="Calibri" w:cs="Times New Roman" w:ascii="Times New Roman" w:hAnsi="Times New Roman"/>
          <w:color w:val="000000" w:themeColor="text1"/>
          <w:sz w:val="28"/>
          <w:szCs w:val="28"/>
        </w:rPr>
        <w:t>НОКУОУОК</w:t>
      </w:r>
    </w:p>
    <w:tbl>
      <w:tblPr>
        <w:tblW w:w="9356"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707"/>
        <w:gridCol w:w="5389"/>
        <w:gridCol w:w="3260"/>
      </w:tblGrid>
      <w:tr>
        <w:trPr/>
        <w:tc>
          <w:tcPr>
            <w:tcW w:w="7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color w:val="000000" w:themeColor="text1"/>
                <w:sz w:val="28"/>
                <w:szCs w:val="28"/>
                <w:lang w:eastAsia="en-US"/>
              </w:rPr>
            </w:pPr>
            <w:r>
              <w:rPr>
                <w:rFonts w:eastAsia="Times New Roman" w:cs="Times New Roman" w:ascii="Times New Roman" w:hAnsi="Times New Roman"/>
                <w:b/>
                <w:color w:val="000000" w:themeColor="text1"/>
                <w:sz w:val="28"/>
                <w:szCs w:val="28"/>
              </w:rPr>
              <w:t>№</w:t>
            </w:r>
          </w:p>
        </w:tc>
        <w:tc>
          <w:tcPr>
            <w:tcW w:w="53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color w:val="000000" w:themeColor="text1"/>
                <w:sz w:val="28"/>
                <w:szCs w:val="28"/>
                <w:lang w:eastAsia="en-US"/>
              </w:rPr>
            </w:pPr>
            <w:r>
              <w:rPr>
                <w:rFonts w:eastAsia="Times New Roman" w:cs="Times New Roman" w:ascii="Times New Roman" w:hAnsi="Times New Roman"/>
                <w:b/>
                <w:color w:val="000000" w:themeColor="text1"/>
                <w:sz w:val="28"/>
                <w:szCs w:val="28"/>
              </w:rPr>
              <w:t>Организация культуры</w:t>
            </w:r>
          </w:p>
        </w:tc>
        <w:tc>
          <w:tcPr>
            <w:tcW w:w="3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color w:val="000000" w:themeColor="text1"/>
                <w:sz w:val="28"/>
                <w:szCs w:val="28"/>
              </w:rPr>
            </w:pPr>
            <w:r>
              <w:rPr>
                <w:rFonts w:eastAsia="Times New Roman" w:cs="Times New Roman" w:ascii="Times New Roman" w:hAnsi="Times New Roman"/>
                <w:b/>
                <w:color w:val="000000" w:themeColor="text1"/>
                <w:sz w:val="28"/>
                <w:szCs w:val="28"/>
              </w:rPr>
              <w:t>Краткое наименование</w:t>
            </w:r>
          </w:p>
          <w:p>
            <w:pPr>
              <w:pStyle w:val="Normal"/>
              <w:spacing w:lineRule="auto" w:line="240" w:before="0" w:after="0"/>
              <w:jc w:val="center"/>
              <w:rPr>
                <w:rFonts w:ascii="Times New Roman" w:hAnsi="Times New Roman" w:eastAsia="Calibri" w:cs="Times New Roman"/>
                <w:color w:val="000000" w:themeColor="text1"/>
                <w:sz w:val="28"/>
                <w:szCs w:val="28"/>
                <w:lang w:eastAsia="en-US"/>
              </w:rPr>
            </w:pPr>
            <w:r>
              <w:rPr>
                <w:rFonts w:eastAsia="Times New Roman" w:cs="Times New Roman" w:ascii="Times New Roman" w:hAnsi="Times New Roman"/>
                <w:b/>
                <w:color w:val="000000" w:themeColor="text1"/>
                <w:sz w:val="28"/>
                <w:szCs w:val="28"/>
              </w:rPr>
              <w:t>(для рисунков и таблиц)</w:t>
            </w:r>
          </w:p>
        </w:tc>
      </w:tr>
      <w:tr>
        <w:trPr/>
        <w:tc>
          <w:tcPr>
            <w:tcW w:w="7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1</w:t>
            </w:r>
          </w:p>
        </w:tc>
        <w:tc>
          <w:tcPr>
            <w:tcW w:w="53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Муниципальное бюджетное учреждение культуры «</w:t>
            </w:r>
            <w:r>
              <w:rPr>
                <w:rFonts w:eastAsia="Times New Roman" w:cs="Times New Roman" w:ascii="Times New Roman" w:hAnsi="Times New Roman"/>
                <w:color w:val="000000" w:themeColor="text1"/>
                <w:sz w:val="28"/>
                <w:szCs w:val="28"/>
              </w:rPr>
              <w:t>Савдянский сельский Дом культуры»</w:t>
            </w:r>
          </w:p>
        </w:tc>
        <w:tc>
          <w:tcPr>
            <w:tcW w:w="3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color w:val="000000" w:themeColor="text1"/>
                <w:sz w:val="28"/>
                <w:szCs w:val="28"/>
              </w:rPr>
            </w:pPr>
            <w:r>
              <w:rPr>
                <w:rFonts w:ascii="Times New Roman" w:hAnsi="Times New Roman"/>
                <w:color w:val="000000" w:themeColor="text1"/>
                <w:sz w:val="28"/>
                <w:szCs w:val="28"/>
              </w:rPr>
              <w:t>МБУК «Савдянский СДК»,</w:t>
            </w:r>
          </w:p>
          <w:p>
            <w:pPr>
              <w:pStyle w:val="Normal"/>
              <w:spacing w:lineRule="auto" w:line="240" w:before="0" w:after="0"/>
              <w:jc w:val="center"/>
              <w:rPr>
                <w:rFonts w:ascii="Times New Roman" w:hAnsi="Times New Roman" w:cs="Times New Roman"/>
                <w:color w:val="000000" w:themeColor="text1"/>
                <w:sz w:val="28"/>
                <w:szCs w:val="28"/>
              </w:rPr>
            </w:pPr>
            <w:r>
              <w:rPr>
                <w:rFonts w:ascii="Times New Roman" w:hAnsi="Times New Roman"/>
                <w:color w:val="000000" w:themeColor="text1"/>
                <w:sz w:val="28"/>
                <w:szCs w:val="28"/>
              </w:rPr>
              <w:t>(ССДК)</w:t>
            </w:r>
          </w:p>
        </w:tc>
      </w:tr>
    </w:tbl>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xml:space="preserve">Независимая оценка качества условий оказания услуг проведена в одной организации </w:t>
      </w:r>
      <w:r>
        <w:rPr>
          <w:rFonts w:cs="Times New Roman" w:ascii="Times New Roman" w:hAnsi="Times New Roman"/>
          <w:color w:val="000000" w:themeColor="text1"/>
          <w:sz w:val="28"/>
          <w:szCs w:val="28"/>
          <w:shd w:fill="FFFFFF" w:val="clear"/>
        </w:rPr>
        <w:t>культуры Заветинского района Ростовской области</w:t>
      </w:r>
      <w:r>
        <w:rPr>
          <w:rFonts w:eastAsia="Calibri" w:cs="Times New Roman" w:ascii="Times New Roman" w:hAnsi="Times New Roman"/>
          <w:color w:val="000000" w:themeColor="text1"/>
          <w:sz w:val="28"/>
          <w:szCs w:val="28"/>
          <w:lang w:eastAsia="en-US"/>
        </w:rPr>
        <w:t>.</w:t>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keepNext w:val="true"/>
        <w:keepLines/>
        <w:numPr>
          <w:ilvl w:val="0"/>
          <w:numId w:val="0"/>
        </w:numPr>
        <w:spacing w:before="0" w:after="0"/>
        <w:ind w:hanging="0"/>
        <w:jc w:val="center"/>
        <w:outlineLvl w:val="0"/>
        <w:rPr>
          <w:rFonts w:ascii="Times New Roman" w:hAnsi="Times New Roman" w:eastAsia="Times New Roman" w:cs="Times New Roman"/>
          <w:b/>
          <w:b/>
          <w:bCs/>
          <w:color w:val="000000" w:themeColor="text1"/>
          <w:sz w:val="28"/>
          <w:szCs w:val="28"/>
        </w:rPr>
      </w:pPr>
      <w:bookmarkStart w:id="7" w:name="_Toc58223941"/>
      <w:bookmarkStart w:id="8" w:name="_Toc57800859"/>
      <w:bookmarkStart w:id="9" w:name="_Toc468106515"/>
      <w:r>
        <w:rPr>
          <w:rFonts w:eastAsia="Times New Roman" w:cs="Times New Roman" w:ascii="Times New Roman" w:hAnsi="Times New Roman"/>
          <w:b/>
          <w:bCs/>
          <w:color w:val="000000" w:themeColor="text1"/>
          <w:sz w:val="28"/>
          <w:szCs w:val="28"/>
        </w:rPr>
        <w:t>2. Описание выборки социологического опроса получателей услуг</w:t>
      </w:r>
      <w:bookmarkEnd w:id="9"/>
      <w:r>
        <w:rPr>
          <w:rFonts w:eastAsia="Times New Roman" w:cs="Times New Roman" w:ascii="Times New Roman" w:hAnsi="Times New Roman"/>
          <w:b/>
          <w:bCs/>
          <w:color w:val="000000" w:themeColor="text1"/>
          <w:sz w:val="28"/>
          <w:szCs w:val="28"/>
        </w:rPr>
        <w:t>, предоставляемых организацией культуры</w:t>
      </w:r>
      <w:bookmarkEnd w:id="7"/>
      <w:bookmarkEnd w:id="8"/>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xml:space="preserve">В опросе приняли участие 375 получателей услуг, предоставляемых </w:t>
      </w:r>
      <w:r>
        <w:rPr>
          <w:rFonts w:eastAsia="Calibri" w:cs="Times New Roman" w:ascii="Times New Roman" w:hAnsi="Times New Roman" w:eastAsiaTheme="minorHAnsi"/>
          <w:color w:val="000000" w:themeColor="text1"/>
          <w:sz w:val="28"/>
          <w:szCs w:val="28"/>
          <w:shd w:fill="FFFFFF" w:val="clear"/>
          <w:lang w:eastAsia="en-US"/>
        </w:rPr>
        <w:t xml:space="preserve">МБУК </w:t>
      </w:r>
      <w:r>
        <w:rPr>
          <w:rFonts w:cs="Times New Roman" w:ascii="Times New Roman" w:hAnsi="Times New Roman"/>
          <w:color w:val="000000" w:themeColor="text1"/>
          <w:sz w:val="28"/>
          <w:szCs w:val="28"/>
        </w:rPr>
        <w:t>«</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Выборка опрошенных представлена в таблице 2.1.</w:t>
      </w:r>
    </w:p>
    <w:p>
      <w:pPr>
        <w:pStyle w:val="Normal"/>
        <w:spacing w:lineRule="auto" w:line="360" w:before="0" w:after="0"/>
        <w:ind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tabs>
          <w:tab w:val="left" w:pos="4820" w:leader="none"/>
        </w:tabs>
        <w:spacing w:before="0" w:after="0"/>
        <w:jc w:val="center"/>
        <w:rPr>
          <w:rFonts w:ascii="Times New Roman" w:hAnsi="Times New Roman" w:eastAsia="Calibri" w:cs="Times New Roman" w:eastAsiaTheme="minorHAnsi"/>
          <w:color w:val="000000" w:themeColor="text1"/>
          <w:sz w:val="28"/>
          <w:szCs w:val="28"/>
          <w:lang w:eastAsia="en-US"/>
        </w:rPr>
      </w:pPr>
      <w:r>
        <w:rPr>
          <w:rFonts w:eastAsia="Calibri" w:cs="Times New Roman" w:ascii="Times New Roman" w:hAnsi="Times New Roman"/>
          <w:color w:val="000000" w:themeColor="text1"/>
          <w:sz w:val="28"/>
          <w:szCs w:val="28"/>
          <w:lang w:eastAsia="en-US"/>
        </w:rPr>
        <w:t xml:space="preserve">Таблица 2.1 – Выборка социологического опроса получателей услуг, предоставляемых </w:t>
      </w:r>
      <w:r>
        <w:rPr>
          <w:rFonts w:eastAsia="Calibri" w:cs="Times New Roman" w:ascii="Times New Roman" w:hAnsi="Times New Roman" w:eastAsiaTheme="minorHAnsi"/>
          <w:color w:val="000000" w:themeColor="text1"/>
          <w:sz w:val="28"/>
          <w:szCs w:val="28"/>
          <w:lang w:eastAsia="en-US"/>
        </w:rPr>
        <w:t>МБУК «</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eastAsiaTheme="minorHAnsi"/>
          <w:color w:val="000000" w:themeColor="text1"/>
          <w:sz w:val="28"/>
          <w:szCs w:val="28"/>
          <w:lang w:eastAsia="en-US"/>
        </w:rPr>
        <w:t>»</w:t>
      </w:r>
      <w:r>
        <w:rPr>
          <w:rFonts w:eastAsia="Calibri" w:cs="Times New Roman" w:ascii="Times New Roman" w:hAnsi="Times New Roman"/>
          <w:color w:val="000000" w:themeColor="text1"/>
          <w:sz w:val="28"/>
          <w:szCs w:val="28"/>
          <w:lang w:eastAsia="en-US"/>
        </w:rPr>
        <w:t>, человек</w:t>
      </w:r>
    </w:p>
    <w:tbl>
      <w:tblPr>
        <w:tblStyle w:val="22"/>
        <w:tblW w:w="9356" w:type="dxa"/>
        <w:jc w:val="left"/>
        <w:tblInd w:w="108" w:type="dxa"/>
        <w:tblCellMar>
          <w:top w:w="0" w:type="dxa"/>
          <w:left w:w="108" w:type="dxa"/>
          <w:bottom w:w="0" w:type="dxa"/>
          <w:right w:w="108" w:type="dxa"/>
        </w:tblCellMar>
        <w:tblLook w:firstRow="1" w:noVBand="1" w:lastRow="0" w:firstColumn="1" w:lastColumn="0" w:noHBand="0" w:val="04a0"/>
      </w:tblPr>
      <w:tblGrid>
        <w:gridCol w:w="566"/>
        <w:gridCol w:w="4536"/>
        <w:gridCol w:w="2126"/>
        <w:gridCol w:w="2127"/>
      </w:tblGrid>
      <w:tr>
        <w:trPr>
          <w:trHeight w:val="20" w:hRule="atLeast"/>
        </w:trPr>
        <w:tc>
          <w:tcPr>
            <w:tcW w:w="566" w:type="dxa"/>
            <w:tcBorders/>
            <w:shd w:fill="auto" w:val="clear"/>
            <w:vAlign w:val="center"/>
          </w:tcPr>
          <w:p>
            <w:pPr>
              <w:pStyle w:val="Normal"/>
              <w:spacing w:lineRule="auto" w:line="240" w:before="0" w:after="0"/>
              <w:jc w:val="center"/>
              <w:rPr>
                <w:rFonts w:ascii="Times New Roman" w:hAnsi="Times New Roman" w:eastAsia="Times New Roman" w:cs="Times New Roman"/>
                <w:b/>
                <w:b/>
                <w:color w:val="000000" w:themeColor="text1"/>
                <w:sz w:val="24"/>
                <w:szCs w:val="24"/>
              </w:rPr>
            </w:pPr>
            <w:r>
              <w:rPr>
                <w:rFonts w:eastAsia="Times New Roman" w:cs="Times New Roman" w:ascii="Times New Roman" w:hAnsi="Times New Roman"/>
                <w:b/>
                <w:color w:val="000000" w:themeColor="text1"/>
                <w:sz w:val="24"/>
                <w:szCs w:val="24"/>
              </w:rPr>
              <w:t>№</w:t>
            </w:r>
          </w:p>
        </w:tc>
        <w:tc>
          <w:tcPr>
            <w:tcW w:w="4536" w:type="dxa"/>
            <w:tcBorders/>
            <w:shd w:fill="auto" w:val="clear"/>
            <w:vAlign w:val="center"/>
          </w:tcPr>
          <w:p>
            <w:pPr>
              <w:pStyle w:val="Normal"/>
              <w:spacing w:lineRule="auto" w:line="240" w:before="0" w:after="0"/>
              <w:jc w:val="center"/>
              <w:rPr>
                <w:rFonts w:ascii="Times New Roman" w:hAnsi="Times New Roman" w:eastAsia="Calibri" w:cs="Times New Roman" w:eastAsiaTheme="minorHAnsi"/>
                <w:b/>
                <w:b/>
                <w:color w:val="000000" w:themeColor="text1"/>
                <w:sz w:val="24"/>
                <w:szCs w:val="24"/>
                <w:lang w:eastAsia="en-US"/>
              </w:rPr>
            </w:pPr>
            <w:r>
              <w:rPr>
                <w:rFonts w:eastAsia="Calibri" w:cs="Times New Roman" w:ascii="Times New Roman" w:hAnsi="Times New Roman" w:eastAsiaTheme="minorHAnsi"/>
                <w:b/>
                <w:color w:val="000000" w:themeColor="text1"/>
                <w:sz w:val="24"/>
                <w:szCs w:val="24"/>
                <w:lang w:eastAsia="en-US"/>
              </w:rPr>
              <w:t>Организация культуры</w:t>
            </w:r>
          </w:p>
        </w:tc>
        <w:tc>
          <w:tcPr>
            <w:tcW w:w="2126" w:type="dxa"/>
            <w:tcBorders/>
            <w:shd w:fill="auto" w:val="clear"/>
            <w:vAlign w:val="center"/>
          </w:tcPr>
          <w:p>
            <w:pPr>
              <w:pStyle w:val="Normal"/>
              <w:spacing w:lineRule="auto" w:line="240" w:before="0" w:after="0"/>
              <w:jc w:val="center"/>
              <w:rPr>
                <w:rFonts w:ascii="Times New Roman" w:hAnsi="Times New Roman" w:eastAsia="Calibri" w:cs="Times New Roman" w:eastAsiaTheme="minorHAnsi"/>
                <w:b/>
                <w:b/>
                <w:color w:val="000000" w:themeColor="text1"/>
                <w:sz w:val="24"/>
                <w:szCs w:val="24"/>
                <w:lang w:eastAsia="en-US"/>
              </w:rPr>
            </w:pPr>
            <w:r>
              <w:rPr>
                <w:rFonts w:eastAsia="Calibri" w:cs="Times New Roman" w:ascii="Times New Roman" w:hAnsi="Times New Roman" w:eastAsiaTheme="minorHAnsi"/>
                <w:b/>
                <w:color w:val="000000" w:themeColor="text1"/>
                <w:sz w:val="24"/>
                <w:szCs w:val="24"/>
                <w:lang w:eastAsia="en-US"/>
              </w:rPr>
              <w:t>Количество активных получателей услуг в 2019 году</w:t>
            </w:r>
          </w:p>
        </w:tc>
        <w:tc>
          <w:tcPr>
            <w:tcW w:w="2127" w:type="dxa"/>
            <w:tcBorders/>
            <w:shd w:fill="auto" w:val="clear"/>
            <w:vAlign w:val="center"/>
          </w:tcPr>
          <w:p>
            <w:pPr>
              <w:pStyle w:val="Normal"/>
              <w:spacing w:lineRule="auto" w:line="240" w:before="0" w:after="0"/>
              <w:jc w:val="center"/>
              <w:rPr>
                <w:rFonts w:ascii="Times New Roman" w:hAnsi="Times New Roman" w:eastAsia="Calibri" w:cs="Times New Roman" w:eastAsiaTheme="minorHAnsi"/>
                <w:b/>
                <w:b/>
                <w:color w:val="000000" w:themeColor="text1"/>
                <w:sz w:val="24"/>
                <w:szCs w:val="24"/>
                <w:lang w:eastAsia="en-US"/>
              </w:rPr>
            </w:pPr>
            <w:r>
              <w:rPr>
                <w:rFonts w:eastAsia="Calibri" w:cs="Times New Roman" w:ascii="Times New Roman" w:hAnsi="Times New Roman" w:eastAsiaTheme="minorHAnsi"/>
                <w:b/>
                <w:color w:val="000000" w:themeColor="text1"/>
                <w:sz w:val="24"/>
                <w:szCs w:val="24"/>
                <w:lang w:eastAsia="en-US"/>
              </w:rPr>
              <w:t>Количество опрошенных</w:t>
            </w:r>
          </w:p>
        </w:tc>
      </w:tr>
      <w:tr>
        <w:trPr>
          <w:trHeight w:val="20" w:hRule="atLeast"/>
        </w:trPr>
        <w:tc>
          <w:tcPr>
            <w:tcW w:w="566" w:type="dxa"/>
            <w:tcBorders/>
            <w:shd w:fill="auto" w:val="clear"/>
          </w:tcPr>
          <w:p>
            <w:pPr>
              <w:pStyle w:val="Normal"/>
              <w:spacing w:lineRule="auto" w:line="240" w:before="0" w:after="0"/>
              <w:jc w:val="center"/>
              <w:rPr>
                <w:rFonts w:ascii="Times New Roman" w:hAnsi="Times New Roman" w:eastAsia="Calibri" w:cs="Times New Roman" w:eastAsiaTheme="minorHAnsi"/>
                <w:color w:val="000000" w:themeColor="text1"/>
                <w:sz w:val="24"/>
                <w:szCs w:val="24"/>
                <w:lang w:eastAsia="en-US"/>
              </w:rPr>
            </w:pPr>
            <w:r>
              <w:rPr>
                <w:rFonts w:eastAsia="Calibri" w:cs="Times New Roman" w:ascii="Times New Roman" w:hAnsi="Times New Roman" w:eastAsiaTheme="minorHAnsi"/>
                <w:color w:val="000000" w:themeColor="text1"/>
                <w:sz w:val="24"/>
                <w:szCs w:val="24"/>
                <w:lang w:eastAsia="en-US"/>
              </w:rPr>
              <w:t>1</w:t>
            </w:r>
          </w:p>
        </w:tc>
        <w:tc>
          <w:tcPr>
            <w:tcW w:w="4536"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themeColor="text1"/>
                <w:sz w:val="24"/>
                <w:szCs w:val="24"/>
              </w:rPr>
            </w:pPr>
            <w:r>
              <w:rPr>
                <w:rFonts w:eastAsia="Times New Roman" w:cs="Times New Roman" w:ascii="Times New Roman" w:hAnsi="Times New Roman"/>
                <w:color w:val="000000" w:themeColor="text1"/>
                <w:sz w:val="24"/>
                <w:szCs w:val="24"/>
              </w:rPr>
              <w:t>МБУК «Савдянский сельский Дом культуры»</w:t>
            </w:r>
          </w:p>
        </w:tc>
        <w:tc>
          <w:tcPr>
            <w:tcW w:w="2126" w:type="dxa"/>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8 300</w:t>
            </w:r>
          </w:p>
        </w:tc>
        <w:tc>
          <w:tcPr>
            <w:tcW w:w="2127" w:type="dxa"/>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375</w:t>
            </w:r>
          </w:p>
        </w:tc>
      </w:tr>
      <w:tr>
        <w:trPr>
          <w:trHeight w:val="20" w:hRule="atLeast"/>
        </w:trPr>
        <w:tc>
          <w:tcPr>
            <w:tcW w:w="566" w:type="dxa"/>
            <w:tcBorders/>
            <w:shd w:fill="auto" w:val="clear"/>
            <w:vAlign w:val="center"/>
          </w:tcPr>
          <w:p>
            <w:pPr>
              <w:pStyle w:val="Normal"/>
              <w:spacing w:lineRule="auto" w:line="240" w:before="0" w:after="0"/>
              <w:jc w:val="center"/>
              <w:rPr>
                <w:rFonts w:ascii="Times New Roman" w:hAnsi="Times New Roman" w:eastAsia="Calibri" w:cs="Times New Roman" w:eastAsiaTheme="minorHAnsi"/>
                <w:color w:val="000000" w:themeColor="text1"/>
                <w:sz w:val="24"/>
                <w:szCs w:val="24"/>
                <w:lang w:eastAsia="en-US"/>
              </w:rPr>
            </w:pPr>
            <w:r>
              <w:rPr>
                <w:rFonts w:eastAsia="Calibri" w:cs="Times New Roman" w:eastAsiaTheme="minorHAnsi" w:ascii="Times New Roman" w:hAnsi="Times New Roman"/>
                <w:color w:val="000000" w:themeColor="text1"/>
                <w:sz w:val="24"/>
                <w:szCs w:val="24"/>
                <w:lang w:eastAsia="en-US"/>
              </w:rPr>
            </w:r>
          </w:p>
        </w:tc>
        <w:tc>
          <w:tcPr>
            <w:tcW w:w="4536" w:type="dxa"/>
            <w:tcBorders/>
            <w:shd w:fill="auto" w:val="clear"/>
            <w:vAlign w:val="center"/>
          </w:tcPr>
          <w:p>
            <w:pPr>
              <w:pStyle w:val="Normal"/>
              <w:spacing w:lineRule="auto" w:line="240" w:before="0" w:after="0"/>
              <w:ind w:firstLine="284"/>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в том числе инвалидов, людей с ограниченными возможностями здоровья, их сопровождающих (родственников)</w:t>
            </w:r>
          </w:p>
        </w:tc>
        <w:tc>
          <w:tcPr>
            <w:tcW w:w="2126" w:type="dxa"/>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нд</w:t>
            </w:r>
          </w:p>
        </w:tc>
        <w:tc>
          <w:tcPr>
            <w:tcW w:w="2127" w:type="dxa"/>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74</w:t>
            </w:r>
          </w:p>
        </w:tc>
      </w:tr>
    </w:tbl>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color w:val="000000" w:themeColor="text1"/>
          <w:sz w:val="28"/>
          <w:szCs w:val="28"/>
          <w:lang w:eastAsia="en-US"/>
        </w:rPr>
        <w:t>Распределение опрошенных потребителей услуг по полу и возрасту представлено в таблицах 2.2-2.3.</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Таблица 2.2 – Распределение ответов групп респондентов на вопрос</w:t>
        <w:br/>
        <w:t>«Ваш пол», %</w:t>
      </w:r>
    </w:p>
    <w:tbl>
      <w:tblPr>
        <w:tblW w:w="9356" w:type="dxa"/>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Look w:firstRow="1" w:noVBand="1" w:lastRow="0" w:firstColumn="1" w:lastColumn="0" w:noHBand="0" w:val="04a0"/>
      </w:tblPr>
      <w:tblGrid>
        <w:gridCol w:w="599"/>
        <w:gridCol w:w="5572"/>
        <w:gridCol w:w="1177"/>
        <w:gridCol w:w="1157"/>
        <w:gridCol w:w="851"/>
      </w:tblGrid>
      <w:tr>
        <w:trPr>
          <w:trHeight w:val="20" w:hRule="atLeast"/>
        </w:trPr>
        <w:tc>
          <w:tcPr>
            <w:tcW w:w="5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w:t>
            </w:r>
          </w:p>
        </w:tc>
        <w:tc>
          <w:tcPr>
            <w:tcW w:w="557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Организация культуры</w:t>
            </w:r>
          </w:p>
        </w:tc>
        <w:tc>
          <w:tcPr>
            <w:tcW w:w="1177"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мужской</w:t>
            </w:r>
          </w:p>
        </w:tc>
        <w:tc>
          <w:tcPr>
            <w:tcW w:w="1157"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женский</w:t>
            </w:r>
          </w:p>
        </w:tc>
        <w:tc>
          <w:tcPr>
            <w:tcW w:w="85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итого</w:t>
            </w:r>
          </w:p>
        </w:tc>
      </w:tr>
      <w:tr>
        <w:trPr>
          <w:trHeight w:val="20" w:hRule="atLeast"/>
        </w:trPr>
        <w:tc>
          <w:tcPr>
            <w:tcW w:w="599"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Times New Roman" w:cs="Times New Roman"/>
                <w:color w:val="000000" w:themeColor="text1"/>
                <w:sz w:val="24"/>
                <w:szCs w:val="24"/>
              </w:rPr>
            </w:pPr>
            <w:r>
              <w:rPr>
                <w:rFonts w:eastAsia="Times New Roman" w:cs="Times New Roman" w:ascii="Times New Roman" w:hAnsi="Times New Roman"/>
                <w:color w:val="000000" w:themeColor="text1"/>
                <w:sz w:val="24"/>
                <w:szCs w:val="24"/>
              </w:rPr>
              <w:t>1</w:t>
            </w:r>
          </w:p>
        </w:tc>
        <w:tc>
          <w:tcPr>
            <w:tcW w:w="5572" w:type="dxa"/>
            <w:tcBorders>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eastAsia="Calibri" w:cs="Times New Roman" w:ascii="Times New Roman" w:hAnsi="Times New Roman" w:eastAsiaTheme="minorHAnsi"/>
                <w:color w:val="000000" w:themeColor="text1"/>
                <w:sz w:val="24"/>
                <w:szCs w:val="24"/>
                <w:lang w:eastAsia="en-US"/>
              </w:rPr>
              <w:t>МБУК «</w:t>
            </w:r>
            <w:r>
              <w:rPr>
                <w:rFonts w:eastAsia="Times New Roman" w:cs="Times New Roman" w:ascii="Times New Roman" w:hAnsi="Times New Roman"/>
                <w:color w:val="000000" w:themeColor="text1"/>
                <w:sz w:val="24"/>
                <w:szCs w:val="24"/>
              </w:rPr>
              <w:t>Савдянский сельский Дом культуры</w:t>
            </w:r>
            <w:r>
              <w:rPr>
                <w:rFonts w:eastAsia="Calibri" w:cs="Times New Roman" w:ascii="Times New Roman" w:hAnsi="Times New Roman" w:eastAsiaTheme="minorHAnsi"/>
                <w:color w:val="000000" w:themeColor="text1"/>
                <w:sz w:val="24"/>
                <w:szCs w:val="24"/>
                <w:lang w:eastAsia="en-US"/>
              </w:rPr>
              <w:t>»</w:t>
            </w:r>
          </w:p>
        </w:tc>
        <w:tc>
          <w:tcPr>
            <w:tcW w:w="117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43,0</w:t>
            </w:r>
          </w:p>
        </w:tc>
        <w:tc>
          <w:tcPr>
            <w:tcW w:w="115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57,0</w:t>
            </w:r>
          </w:p>
        </w:tc>
        <w:tc>
          <w:tcPr>
            <w:tcW w:w="85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100,0</w:t>
            </w:r>
          </w:p>
        </w:tc>
      </w:tr>
    </w:tbl>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Таблица 2.3 – Распределение ответов групп респондентов на вопрос</w:t>
        <w:br/>
        <w:t>«Ваш возраст», %</w:t>
      </w:r>
    </w:p>
    <w:tbl>
      <w:tblPr>
        <w:tblW w:w="9356"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566"/>
        <w:gridCol w:w="3403"/>
        <w:gridCol w:w="852"/>
        <w:gridCol w:w="849"/>
        <w:gridCol w:w="850"/>
        <w:gridCol w:w="851"/>
        <w:gridCol w:w="1134"/>
        <w:gridCol w:w="850"/>
      </w:tblGrid>
      <w:tr>
        <w:trPr>
          <w:trHeight w:val="20" w:hRule="atLeast"/>
        </w:trPr>
        <w:tc>
          <w:tcPr>
            <w:tcW w:w="56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w:t>
            </w:r>
          </w:p>
        </w:tc>
        <w:tc>
          <w:tcPr>
            <w:tcW w:w="340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Организация культуры</w:t>
            </w:r>
          </w:p>
        </w:tc>
        <w:tc>
          <w:tcPr>
            <w:tcW w:w="4536"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Возраст, лет</w:t>
            </w:r>
          </w:p>
        </w:tc>
        <w:tc>
          <w:tcPr>
            <w:tcW w:w="850"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итого</w:t>
            </w:r>
          </w:p>
        </w:tc>
      </w:tr>
      <w:tr>
        <w:trPr>
          <w:trHeight w:val="20" w:hRule="atLeast"/>
        </w:trPr>
        <w:tc>
          <w:tcPr>
            <w:tcW w:w="56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c>
          <w:tcPr>
            <w:tcW w:w="340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до 25</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25-34</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35-44</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45-54</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t>55 лет и старше</w:t>
            </w:r>
          </w:p>
        </w:tc>
        <w:tc>
          <w:tcPr>
            <w:tcW w:w="85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trHeight w:val="20" w:hRule="atLeast"/>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Times New Roman" w:cs="Times New Roman"/>
                <w:color w:val="000000" w:themeColor="text1"/>
                <w:sz w:val="24"/>
                <w:szCs w:val="24"/>
              </w:rPr>
            </w:pPr>
            <w:r>
              <w:rPr>
                <w:rFonts w:eastAsia="Times New Roman" w:cs="Times New Roman" w:ascii="Times New Roman" w:hAnsi="Times New Roman"/>
                <w:color w:val="000000" w:themeColor="text1"/>
                <w:sz w:val="24"/>
                <w:szCs w:val="24"/>
              </w:rPr>
              <w:t>1</w:t>
            </w:r>
          </w:p>
        </w:tc>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eastAsia="Calibri" w:cs="Times New Roman" w:ascii="Times New Roman" w:hAnsi="Times New Roman" w:eastAsiaTheme="minorHAnsi"/>
                <w:color w:val="000000" w:themeColor="text1"/>
                <w:sz w:val="24"/>
                <w:szCs w:val="24"/>
                <w:lang w:eastAsia="en-US"/>
              </w:rPr>
              <w:t>МБУК «</w:t>
            </w:r>
            <w:r>
              <w:rPr>
                <w:rFonts w:eastAsia="Times New Roman" w:cs="Times New Roman" w:ascii="Times New Roman" w:hAnsi="Times New Roman"/>
                <w:color w:val="000000" w:themeColor="text1"/>
                <w:sz w:val="24"/>
                <w:szCs w:val="24"/>
              </w:rPr>
              <w:t>Савдянский сельский Дом культуры</w:t>
            </w:r>
            <w:r>
              <w:rPr>
                <w:rFonts w:eastAsia="Calibri" w:cs="Times New Roman" w:ascii="Times New Roman" w:hAnsi="Times New Roman" w:eastAsiaTheme="minorHAnsi"/>
                <w:color w:val="000000" w:themeColor="text1"/>
                <w:sz w:val="24"/>
                <w:szCs w:val="24"/>
                <w:lang w:eastAsia="en-US"/>
              </w:rPr>
              <w:t>»</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16,1</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23,1</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25,5</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19,4</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15,9</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100,0</w:t>
            </w:r>
          </w:p>
        </w:tc>
      </w:tr>
    </w:tbl>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Социологический компонент независимой оценки качества условий оказания услуг организацией культуры, который реализовывался в исследовании через опрос потребителей услуг, был направлен на изучение следующих позиций:</w:t>
      </w:r>
    </w:p>
    <w:p>
      <w:pPr>
        <w:pStyle w:val="Normal"/>
        <w:numPr>
          <w:ilvl w:val="0"/>
          <w:numId w:val="1"/>
        </w:numPr>
        <w:spacing w:lineRule="auto" w:line="360" w:before="0" w:after="0"/>
        <w:ind w:left="0"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оценка открытости, полноты и доступности информации об организации культуры, размещенной на официальном сайте организации в информационно-телекоммуникационной сети «Интернет» и на информационных стендах в помещении организации;</w:t>
      </w:r>
    </w:p>
    <w:p>
      <w:pPr>
        <w:pStyle w:val="Normal"/>
        <w:numPr>
          <w:ilvl w:val="0"/>
          <w:numId w:val="1"/>
        </w:numPr>
        <w:spacing w:lineRule="auto" w:line="360" w:before="0" w:after="0"/>
        <w:ind w:left="0"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оценка восприятия комфортности условий предоставления услуг;</w:t>
      </w:r>
    </w:p>
    <w:p>
      <w:pPr>
        <w:pStyle w:val="Normal"/>
        <w:numPr>
          <w:ilvl w:val="0"/>
          <w:numId w:val="1"/>
        </w:numPr>
        <w:spacing w:lineRule="auto" w:line="360" w:before="0" w:after="0"/>
        <w:ind w:left="0"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оценка восприятия доступности услуг для инвалидов;</w:t>
      </w:r>
    </w:p>
    <w:p>
      <w:pPr>
        <w:pStyle w:val="Normal"/>
        <w:numPr>
          <w:ilvl w:val="0"/>
          <w:numId w:val="1"/>
        </w:numPr>
        <w:spacing w:lineRule="auto" w:line="360" w:before="0" w:after="0"/>
        <w:ind w:left="0"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оценка восприятия доброжелательности и вежливости работников организации культуры;</w:t>
      </w:r>
    </w:p>
    <w:p>
      <w:pPr>
        <w:pStyle w:val="Normal"/>
        <w:numPr>
          <w:ilvl w:val="0"/>
          <w:numId w:val="1"/>
        </w:numPr>
        <w:spacing w:lineRule="auto" w:line="360" w:before="0" w:after="0"/>
        <w:ind w:left="0"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оценка степени удовлетворенности условиями оказания услуг.</w:t>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keepNext w:val="true"/>
        <w:keepLines/>
        <w:numPr>
          <w:ilvl w:val="0"/>
          <w:numId w:val="0"/>
        </w:numPr>
        <w:spacing w:before="0" w:after="0"/>
        <w:ind w:hanging="0"/>
        <w:jc w:val="center"/>
        <w:outlineLvl w:val="0"/>
        <w:rPr>
          <w:rFonts w:ascii="Times New Roman" w:hAnsi="Times New Roman" w:eastAsia="Times New Roman" w:cs="Times New Roman"/>
          <w:b/>
          <w:b/>
          <w:bCs/>
          <w:color w:val="000000" w:themeColor="text1"/>
          <w:sz w:val="28"/>
          <w:szCs w:val="28"/>
        </w:rPr>
      </w:pPr>
      <w:bookmarkStart w:id="10" w:name="_Toc58223942"/>
      <w:bookmarkStart w:id="11" w:name="_Toc57800860"/>
      <w:bookmarkStart w:id="12" w:name="_Toc468106512"/>
      <w:bookmarkStart w:id="13" w:name="_Toc455479800"/>
      <w:r>
        <w:rPr>
          <w:rFonts w:eastAsia="Times New Roman" w:cs="Times New Roman" w:ascii="Times New Roman" w:hAnsi="Times New Roman"/>
          <w:b/>
          <w:bCs/>
          <w:color w:val="000000" w:themeColor="text1"/>
          <w:sz w:val="28"/>
          <w:szCs w:val="28"/>
        </w:rPr>
        <w:t xml:space="preserve">3. Показатели открытости и доступности информации об </w:t>
      </w:r>
      <w:bookmarkEnd w:id="13"/>
      <w:r>
        <w:rPr>
          <w:rFonts w:eastAsia="Times New Roman" w:cs="Times New Roman" w:ascii="Times New Roman" w:hAnsi="Times New Roman"/>
          <w:b/>
          <w:bCs/>
          <w:color w:val="000000" w:themeColor="text1"/>
          <w:sz w:val="28"/>
          <w:szCs w:val="28"/>
        </w:rPr>
        <w:t>организаци</w:t>
      </w:r>
      <w:bookmarkEnd w:id="12"/>
      <w:r>
        <w:rPr>
          <w:rFonts w:eastAsia="Times New Roman" w:cs="Times New Roman" w:ascii="Times New Roman" w:hAnsi="Times New Roman"/>
          <w:b/>
          <w:bCs/>
          <w:color w:val="000000" w:themeColor="text1"/>
          <w:sz w:val="28"/>
          <w:szCs w:val="28"/>
        </w:rPr>
        <w:t>и культуры</w:t>
      </w:r>
      <w:bookmarkEnd w:id="10"/>
      <w:bookmarkEnd w:id="11"/>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Организации культуры размещают информацию о своей деятельности на официальных сайтах в сети «Интернет» в соответствии с приказом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Проведен мониторинг соответствия информации о деятельности МБУК</w:t>
      </w:r>
      <w:r>
        <w:rPr>
          <w:rFonts w:cs="Times New Roman" w:ascii="Times New Roman" w:hAnsi="Times New Roman"/>
          <w:color w:val="000000" w:themeColor="text1"/>
          <w:sz w:val="28"/>
          <w:szCs w:val="28"/>
          <w:lang w:val="en-US"/>
        </w:rPr>
        <w:t> </w:t>
      </w:r>
      <w:r>
        <w:rPr>
          <w:rFonts w:cs="Times New Roman" w:ascii="Times New Roman" w:hAnsi="Times New Roman"/>
          <w:color w:val="000000" w:themeColor="text1"/>
          <w:sz w:val="28"/>
          <w:szCs w:val="28"/>
        </w:rPr>
        <w:t>«</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размещенной на общедоступных информационных ресурсах, перечню информации и требованиям к ней, установленным нормативными правовыми актами:</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на информационных стендах в помещении организации;</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на официальном сайте организации в информационно-телекоммуникационной сети «Интернет».</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Для проведения мониторинга использованы показатели, представленные в Приложении 1 (раздел 1.1), и требования, изложенные в Приложении 2.</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Следует учесть, что в ходе мониторинга сайта учитывалась не только полнота представленной информации, но и ее актуальность. Например, если информация о выполнении государственного (муниципального) задания за предыдущий период датирована 2018 годом и ранее,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очень сложно найти, или она содержится как один из разделов какого-либо отчета или плана и напрямую (в виде страницы) на сайте не представлена.</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Результаты мониторинга соответствия информации о деятельности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размещенной на общедоступных информационных ресурсах, перечню информации и требованиям к ней, установленным нормативными правовыми актами, представлены в таблице 3.1.</w:t>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3.1 – Результаты мониторинга соответствия информации о деятельности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размещенной</w:t>
        <w:br/>
        <w:t>на общедоступных информационных ресурсах, перечню информации и требованиям к ней, установленным нормативными правовыми актами</w:t>
        <w:br/>
        <w:t>(по состоянию на ноябрь 2020 года), баллы</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844"/>
        <w:gridCol w:w="6101"/>
        <w:gridCol w:w="2411"/>
      </w:tblGrid>
      <w:tr>
        <w:trPr/>
        <w:tc>
          <w:tcPr>
            <w:tcW w:w="844"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610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241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ССДК</w:t>
            </w:r>
          </w:p>
        </w:tc>
      </w:tr>
      <w:tr>
        <w:trPr/>
        <w:tc>
          <w:tcPr>
            <w:tcW w:w="844"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c>
          <w:tcPr>
            <w:tcW w:w="8512"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Открытость и доступность информации об организации</w:t>
            </w:r>
          </w:p>
        </w:tc>
      </w:tr>
      <w:tr>
        <w:trPr/>
        <w:tc>
          <w:tcPr>
            <w:tcW w:w="844"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1.1</w:t>
            </w:r>
          </w:p>
        </w:tc>
        <w:tc>
          <w:tcPr>
            <w:tcW w:w="8512" w:type="dxa"/>
            <w:gridSpan w:val="2"/>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tc>
      </w:tr>
      <w:tr>
        <w:trPr/>
        <w:tc>
          <w:tcPr>
            <w:tcW w:w="844"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1.1.1</w:t>
            </w:r>
          </w:p>
        </w:tc>
        <w:tc>
          <w:tcPr>
            <w:tcW w:w="610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 информационных стендах в помещении организации;</w:t>
            </w:r>
          </w:p>
        </w:tc>
        <w:tc>
          <w:tcPr>
            <w:tcW w:w="2411"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100</w:t>
            </w:r>
          </w:p>
        </w:tc>
      </w:tr>
      <w:tr>
        <w:trPr/>
        <w:tc>
          <w:tcPr>
            <w:tcW w:w="844"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1.1.2</w:t>
            </w:r>
          </w:p>
        </w:tc>
        <w:tc>
          <w:tcPr>
            <w:tcW w:w="610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 официальном сайте организации в информационно-телекоммуникационной сети «Интернет».</w:t>
            </w:r>
          </w:p>
        </w:tc>
        <w:tc>
          <w:tcPr>
            <w:tcW w:w="2411"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56</w:t>
            </w:r>
          </w:p>
        </w:tc>
      </w:tr>
      <w:tr>
        <w:trPr/>
        <w:tc>
          <w:tcPr>
            <w:tcW w:w="844"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6101" w:type="dxa"/>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В среднем по пп. 1.1.1-1.1.2, баллов (максимум – 100 баллов)</w:t>
            </w:r>
          </w:p>
        </w:tc>
        <w:tc>
          <w:tcPr>
            <w:tcW w:w="2411"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lang w:val="en-US"/>
              </w:rPr>
            </w:pPr>
            <w:r>
              <w:rPr>
                <w:rFonts w:cs="Times New Roman" w:ascii="Times New Roman" w:hAnsi="Times New Roman"/>
                <w:b/>
                <w:color w:val="000000" w:themeColor="text1"/>
                <w:sz w:val="24"/>
                <w:szCs w:val="24"/>
              </w:rPr>
              <w:t>78</w:t>
            </w:r>
          </w:p>
        </w:tc>
      </w:tr>
    </w:tbl>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Проведен мониторинг обеспечения на официальном сайте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наличия и функционирования дистанционных способов обратной связи и взаимодействия с получателями услуг. Для проведения мониторинга использованы показатели, представленные в Приложении 1 (раздел 1.2).</w:t>
      </w:r>
    </w:p>
    <w:p>
      <w:pPr>
        <w:pStyle w:val="Normal"/>
        <w:tabs>
          <w:tab w:val="left" w:pos="6237" w:leader="none"/>
        </w:tabs>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xml:space="preserve">Результаты мониторинга обеспечения на официальном сайте </w:t>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наличия и функционирования дистанционных способов обратной связи и взаимодействия с получателями услуг представлены в таблице 3.2.</w:t>
      </w:r>
    </w:p>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r>
        <w:br w:type="page"/>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3.2 – Результаты мониторинга обеспечения на официальном</w:t>
        <w:br/>
        <w:t>сайте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наличия</w:t>
        <w:br/>
        <w:t>и функционирования дистанционных способов обратной связи и взаимодействия с получателями услуг</w:t>
        <w:br/>
        <w:t>(1 – наличие, 0 – отсутствие; по состоянию на ноябрь 2020 года)</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845"/>
        <w:gridCol w:w="6385"/>
        <w:gridCol w:w="2126"/>
      </w:tblGrid>
      <w:tr>
        <w:trPr/>
        <w:tc>
          <w:tcPr>
            <w:tcW w:w="845"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6385"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2126"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ССДК</w:t>
            </w:r>
          </w:p>
        </w:tc>
      </w:tr>
      <w:tr>
        <w:trPr/>
        <w:tc>
          <w:tcPr>
            <w:tcW w:w="845"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c>
          <w:tcPr>
            <w:tcW w:w="8511"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Открытость и доступность информации об организации</w:t>
            </w:r>
          </w:p>
        </w:tc>
      </w:tr>
      <w:tr>
        <w:trPr/>
        <w:tc>
          <w:tcPr>
            <w:tcW w:w="845"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1.2</w:t>
            </w:r>
          </w:p>
        </w:tc>
        <w:tc>
          <w:tcPr>
            <w:tcW w:w="8511" w:type="dxa"/>
            <w:gridSpan w:val="2"/>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r>
      <w:tr>
        <w:trPr/>
        <w:tc>
          <w:tcPr>
            <w:tcW w:w="845"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1.2.1</w:t>
            </w:r>
          </w:p>
        </w:tc>
        <w:tc>
          <w:tcPr>
            <w:tcW w:w="638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телефона;</w:t>
            </w:r>
          </w:p>
        </w:tc>
        <w:tc>
          <w:tcPr>
            <w:tcW w:w="2126"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r>
      <w:tr>
        <w:trPr/>
        <w:tc>
          <w:tcPr>
            <w:tcW w:w="845"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1.2.2</w:t>
            </w:r>
          </w:p>
        </w:tc>
        <w:tc>
          <w:tcPr>
            <w:tcW w:w="638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электронной почты;</w:t>
            </w:r>
          </w:p>
        </w:tc>
        <w:tc>
          <w:tcPr>
            <w:tcW w:w="2126"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r>
      <w:tr>
        <w:trPr/>
        <w:tc>
          <w:tcPr>
            <w:tcW w:w="845"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1.2.3</w:t>
            </w:r>
          </w:p>
        </w:tc>
        <w:tc>
          <w:tcPr>
            <w:tcW w:w="638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формы для подачи электронного обращения / жалобы / предложения;</w:t>
            </w:r>
          </w:p>
        </w:tc>
        <w:tc>
          <w:tcPr>
            <w:tcW w:w="2126"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r>
      <w:tr>
        <w:trPr/>
        <w:tc>
          <w:tcPr>
            <w:tcW w:w="845"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1.2.4</w:t>
            </w:r>
          </w:p>
        </w:tc>
        <w:tc>
          <w:tcPr>
            <w:tcW w:w="638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раздела «Часто задаваемые вопросы»;</w:t>
            </w:r>
          </w:p>
        </w:tc>
        <w:tc>
          <w:tcPr>
            <w:tcW w:w="2126"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w:t>
            </w:r>
          </w:p>
        </w:tc>
      </w:tr>
      <w:tr>
        <w:trPr/>
        <w:tc>
          <w:tcPr>
            <w:tcW w:w="845"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1.2.5</w:t>
            </w:r>
          </w:p>
        </w:tc>
        <w:tc>
          <w:tcPr>
            <w:tcW w:w="638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электронного сервиса – получение консультации по оказываемым услугам и пр.;</w:t>
            </w:r>
          </w:p>
        </w:tc>
        <w:tc>
          <w:tcPr>
            <w:tcW w:w="2126"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w:t>
            </w:r>
          </w:p>
        </w:tc>
      </w:tr>
      <w:tr>
        <w:trPr/>
        <w:tc>
          <w:tcPr>
            <w:tcW w:w="845"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1.2.6</w:t>
            </w:r>
          </w:p>
        </w:tc>
        <w:tc>
          <w:tcPr>
            <w:tcW w:w="638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обеспечение технической возможности выражения получателем услуг мнения о качестве оказания услуг (наличие анкеты для опроса граждан или гиперссылки на нее).</w:t>
            </w:r>
          </w:p>
        </w:tc>
        <w:tc>
          <w:tcPr>
            <w:tcW w:w="2126"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w:t>
            </w:r>
          </w:p>
        </w:tc>
      </w:tr>
      <w:tr>
        <w:trPr/>
        <w:tc>
          <w:tcPr>
            <w:tcW w:w="845"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6385" w:type="dxa"/>
            <w:tcBorders/>
            <w:shd w:fill="auto" w:val="clear"/>
          </w:tcPr>
          <w:p>
            <w:pPr>
              <w:pStyle w:val="Normal"/>
              <w:spacing w:lineRule="auto" w:line="240" w:before="0" w:after="0"/>
              <w:jc w:val="both"/>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Итого обеспечено наличие способов взаимодействия, ед.</w:t>
            </w:r>
          </w:p>
        </w:tc>
        <w:tc>
          <w:tcPr>
            <w:tcW w:w="2126" w:type="dxa"/>
            <w:tcBorders/>
            <w:shd w:fill="auto"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3</w:t>
            </w:r>
          </w:p>
        </w:tc>
      </w:tr>
      <w:tr>
        <w:trPr/>
        <w:tc>
          <w:tcPr>
            <w:tcW w:w="845"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6385" w:type="dxa"/>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Итого по п. 1.2, баллов (максимум – 100 баллов)</w:t>
            </w:r>
          </w:p>
        </w:tc>
        <w:tc>
          <w:tcPr>
            <w:tcW w:w="2126"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90</w:t>
            </w:r>
          </w:p>
        </w:tc>
      </w:tr>
    </w:tbl>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В таблице 3.3 содержатся примечания, описывающие недостатки и дефициты информационных стендов и сайта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before="0" w:after="0"/>
        <w:jc w:val="center"/>
        <w:rPr>
          <w:rFonts w:ascii="Times New Roman" w:hAnsi="Times New Roman" w:eastAsia="Calibri" w:cs="Times New Roman" w:eastAsiaTheme="minorHAnsi"/>
          <w:color w:val="000000" w:themeColor="text1"/>
          <w:sz w:val="28"/>
          <w:szCs w:val="28"/>
          <w:lang w:eastAsia="en-US"/>
        </w:rPr>
      </w:pPr>
      <w:r>
        <w:rPr>
          <w:rFonts w:eastAsia="Calibri" w:cs="Times New Roman" w:ascii="Times New Roman" w:hAnsi="Times New Roman" w:eastAsiaTheme="minorHAnsi"/>
          <w:color w:val="000000" w:themeColor="text1"/>
          <w:sz w:val="28"/>
          <w:szCs w:val="28"/>
          <w:lang w:eastAsia="en-US"/>
        </w:rPr>
        <w:t>Таблица 3.3 – Дефициты стендов и сайта</w:t>
        <w:br/>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eastAsiaTheme="minorHAnsi"/>
          <w:color w:val="000000" w:themeColor="text1"/>
          <w:sz w:val="28"/>
          <w:szCs w:val="28"/>
          <w:lang w:eastAsia="en-US"/>
        </w:rPr>
        <w:t>по показателям, характеризующим открытость и доступность информации</w:t>
        <w:br/>
        <w:t>об организации культуры (по состоянию на ноябрь 2020 года)</w:t>
      </w:r>
    </w:p>
    <w:tbl>
      <w:tblPr>
        <w:tblStyle w:val="4"/>
        <w:tblW w:w="9356" w:type="dxa"/>
        <w:jc w:val="left"/>
        <w:tblInd w:w="108" w:type="dxa"/>
        <w:tblCellMar>
          <w:top w:w="0" w:type="dxa"/>
          <w:left w:w="108" w:type="dxa"/>
          <w:bottom w:w="0" w:type="dxa"/>
          <w:right w:w="108" w:type="dxa"/>
        </w:tblCellMar>
        <w:tblLook w:firstRow="1" w:noVBand="1" w:lastRow="0" w:firstColumn="1" w:lastColumn="0" w:noHBand="0" w:val="04a0"/>
      </w:tblPr>
      <w:tblGrid>
        <w:gridCol w:w="709"/>
        <w:gridCol w:w="8646"/>
      </w:tblGrid>
      <w:tr>
        <w:trPr>
          <w:tblHeader w:val="true"/>
          <w:trHeight w:val="20" w:hRule="atLeast"/>
          <w:cantSplit w:val="true"/>
        </w:trPr>
        <w:tc>
          <w:tcPr>
            <w:tcW w:w="709" w:type="dxa"/>
            <w:tcBorders/>
            <w:shd w:fill="auto" w:val="clear"/>
            <w:vAlign w:val="center"/>
          </w:tcPr>
          <w:p>
            <w:pPr>
              <w:pStyle w:val="Normal"/>
              <w:spacing w:lineRule="auto" w:line="240" w:before="0" w:after="0"/>
              <w:ind w:hanging="0"/>
              <w:jc w:val="center"/>
              <w:rPr>
                <w:rFonts w:ascii="Times New Roman" w:hAnsi="Times New Roman" w:eastAsia="Calibri" w:cs="Times New Roman" w:eastAsiaTheme="minorHAnsi"/>
                <w:b/>
                <w:b/>
                <w:bCs/>
                <w:color w:val="000000" w:themeColor="text1"/>
                <w:sz w:val="24"/>
                <w:szCs w:val="24"/>
                <w:lang w:eastAsia="en-US"/>
              </w:rPr>
            </w:pPr>
            <w:r>
              <w:rPr>
                <w:rFonts w:eastAsia="Calibri" w:cs="Times New Roman" w:ascii="Times New Roman" w:hAnsi="Times New Roman" w:eastAsiaTheme="minorHAnsi"/>
                <w:b/>
                <w:bCs/>
                <w:color w:val="000000" w:themeColor="text1"/>
                <w:sz w:val="24"/>
                <w:szCs w:val="24"/>
                <w:lang w:eastAsia="en-US"/>
              </w:rPr>
              <w:t>№</w:t>
            </w:r>
          </w:p>
        </w:tc>
        <w:tc>
          <w:tcPr>
            <w:tcW w:w="8646" w:type="dxa"/>
            <w:tcBorders/>
            <w:shd w:fill="auto" w:val="clear"/>
            <w:vAlign w:val="center"/>
          </w:tcPr>
          <w:p>
            <w:pPr>
              <w:pStyle w:val="Normal"/>
              <w:spacing w:lineRule="auto" w:line="240" w:before="0" w:after="0"/>
              <w:ind w:hanging="0"/>
              <w:jc w:val="center"/>
              <w:rPr>
                <w:rFonts w:ascii="Times New Roman" w:hAnsi="Times New Roman" w:eastAsia="Calibri" w:cs="Times New Roman" w:eastAsiaTheme="minorHAnsi"/>
                <w:b/>
                <w:b/>
                <w:color w:val="000000" w:themeColor="text1"/>
                <w:sz w:val="24"/>
                <w:szCs w:val="24"/>
                <w:lang w:eastAsia="en-US"/>
              </w:rPr>
            </w:pPr>
            <w:r>
              <w:rPr>
                <w:rFonts w:eastAsia="Calibri" w:cs="Times New Roman" w:ascii="Times New Roman" w:hAnsi="Times New Roman" w:eastAsiaTheme="minorHAnsi"/>
                <w:b/>
                <w:color w:val="000000" w:themeColor="text1"/>
                <w:sz w:val="24"/>
                <w:szCs w:val="24"/>
                <w:lang w:eastAsia="en-US"/>
              </w:rPr>
              <w:t>Дефициты</w:t>
            </w:r>
          </w:p>
        </w:tc>
      </w:tr>
      <w:tr>
        <w:trPr>
          <w:trHeight w:val="20" w:hRule="atLeast"/>
        </w:trPr>
        <w:tc>
          <w:tcPr>
            <w:tcW w:w="709" w:type="dxa"/>
            <w:tcBorders/>
            <w:shd w:color="auto" w:fill="F2F2F2" w:themeFill="background1" w:themeFillShade="f2" w:val="clear"/>
          </w:tcPr>
          <w:p>
            <w:pPr>
              <w:pStyle w:val="Normal"/>
              <w:spacing w:lineRule="auto" w:line="240" w:before="0" w:after="0"/>
              <w:ind w:hanging="0"/>
              <w:jc w:val="center"/>
              <w:rPr>
                <w:rFonts w:ascii="Times New Roman" w:hAnsi="Times New Roman" w:eastAsia="Calibri" w:cs="Times New Roman" w:eastAsiaTheme="minorHAnsi"/>
                <w:color w:val="000000" w:themeColor="text1"/>
                <w:sz w:val="24"/>
                <w:szCs w:val="24"/>
                <w:lang w:eastAsia="en-US"/>
              </w:rPr>
            </w:pPr>
            <w:r>
              <w:rPr>
                <w:rFonts w:eastAsia="Calibri" w:cs="Times New Roman" w:ascii="Times New Roman" w:hAnsi="Times New Roman" w:eastAsiaTheme="minorHAnsi"/>
                <w:color w:val="000000" w:themeColor="text1"/>
                <w:sz w:val="24"/>
                <w:szCs w:val="24"/>
                <w:lang w:eastAsia="en-US"/>
              </w:rPr>
              <w:t>1.1.2</w:t>
            </w:r>
          </w:p>
        </w:tc>
        <w:tc>
          <w:tcPr>
            <w:tcW w:w="8646" w:type="dxa"/>
            <w:tcBorders/>
            <w:shd w:color="auto" w:fill="F2F2F2" w:themeFill="background1" w:themeFillShade="f2" w:val="clear"/>
          </w:tcPr>
          <w:p>
            <w:pPr>
              <w:pStyle w:val="Normal"/>
              <w:spacing w:lineRule="auto" w:line="240" w:before="0" w:after="0"/>
              <w:ind w:hanging="0"/>
              <w:jc w:val="both"/>
              <w:rPr>
                <w:rFonts w:ascii="Times New Roman" w:hAnsi="Times New Roman" w:eastAsia="Calibri" w:cs="Times New Roman" w:eastAsiaTheme="minorHAnsi"/>
                <w:color w:val="000000" w:themeColor="text1"/>
                <w:sz w:val="24"/>
                <w:szCs w:val="24"/>
                <w:lang w:eastAsia="en-US"/>
              </w:rPr>
            </w:pPr>
            <w:r>
              <w:rPr>
                <w:rFonts w:eastAsia="Calibri" w:cs="Times New Roman" w:ascii="Times New Roman" w:hAnsi="Times New Roman" w:eastAsiaTheme="minorHAnsi"/>
                <w:color w:val="000000" w:themeColor="text1"/>
                <w:sz w:val="24"/>
                <w:szCs w:val="24"/>
                <w:lang w:eastAsia="en-US"/>
              </w:rPr>
              <w:t>На официальном сайте организации в информационно-телекоммуникационной сети «Интернет»:</w:t>
            </w:r>
          </w:p>
        </w:tc>
      </w:tr>
      <w:tr>
        <w:trPr>
          <w:trHeight w:val="20" w:hRule="atLeast"/>
        </w:trPr>
        <w:tc>
          <w:tcPr>
            <w:tcW w:w="709" w:type="dxa"/>
            <w:tcBorders/>
            <w:shd w:fill="auto" w:val="clear"/>
          </w:tcPr>
          <w:p>
            <w:pPr>
              <w:pStyle w:val="Normal"/>
              <w:spacing w:lineRule="auto" w:line="240" w:before="0" w:after="0"/>
              <w:ind w:hanging="0"/>
              <w:jc w:val="center"/>
              <w:rPr>
                <w:rFonts w:ascii="Times New Roman" w:hAnsi="Times New Roman" w:eastAsia="Calibri" w:cs="Times New Roman" w:eastAsiaTheme="minorHAnsi"/>
                <w:color w:val="000000" w:themeColor="text1"/>
                <w:sz w:val="24"/>
                <w:szCs w:val="24"/>
                <w:lang w:eastAsia="en-US"/>
              </w:rPr>
            </w:pPr>
            <w:r>
              <w:rPr>
                <w:rFonts w:eastAsia="Calibri" w:cs="Times New Roman" w:eastAsiaTheme="minorHAnsi" w:ascii="Times New Roman" w:hAnsi="Times New Roman"/>
                <w:color w:val="000000" w:themeColor="text1"/>
                <w:sz w:val="24"/>
                <w:szCs w:val="24"/>
                <w:lang w:eastAsia="en-US"/>
              </w:rPr>
            </w:r>
          </w:p>
        </w:tc>
        <w:tc>
          <w:tcPr>
            <w:tcW w:w="8646" w:type="dxa"/>
            <w:tcBorders/>
            <w:shd w:fill="auto" w:val="clear"/>
          </w:tcPr>
          <w:p>
            <w:pPr>
              <w:pStyle w:val="ListParagraph"/>
              <w:numPr>
                <w:ilvl w:val="1"/>
                <w:numId w:val="3"/>
              </w:numPr>
              <w:tabs>
                <w:tab w:val="left" w:pos="176" w:leader="none"/>
                <w:tab w:val="left" w:pos="317" w:leader="none"/>
                <w:tab w:val="left" w:pos="459" w:leader="none"/>
              </w:tabs>
              <w:spacing w:lineRule="auto" w:line="240" w:before="0" w:after="0"/>
              <w:ind w:left="0" w:hanging="0"/>
              <w:contextualSpacing/>
              <w:jc w:val="both"/>
              <w:rPr>
                <w:rFonts w:ascii="Times New Roman" w:hAnsi="Times New Roman" w:eastAsia="Times New Roman" w:cs="Times New Roman"/>
                <w:color w:val="000000" w:themeColor="text1"/>
                <w:sz w:val="24"/>
                <w:szCs w:val="24"/>
              </w:rPr>
            </w:pPr>
            <w:r>
              <w:rPr>
                <w:rFonts w:eastAsia="Times New Roman" w:cs="Times New Roman" w:ascii="Times New Roman" w:hAnsi="Times New Roman"/>
                <w:color w:val="000000" w:themeColor="text1"/>
                <w:sz w:val="24"/>
                <w:szCs w:val="24"/>
              </w:rPr>
              <w:t>Отсутствует информация о дате создания организации культуры.</w:t>
            </w:r>
          </w:p>
          <w:p>
            <w:pPr>
              <w:pStyle w:val="ListParagraph"/>
              <w:numPr>
                <w:ilvl w:val="1"/>
                <w:numId w:val="3"/>
              </w:numPr>
              <w:tabs>
                <w:tab w:val="left" w:pos="176" w:leader="none"/>
                <w:tab w:val="left" w:pos="317" w:leader="none"/>
                <w:tab w:val="left" w:pos="459" w:leader="none"/>
              </w:tabs>
              <w:spacing w:lineRule="auto" w:line="240" w:before="0" w:after="0"/>
              <w:ind w:left="0" w:hanging="0"/>
              <w:contextualSpacing/>
              <w:jc w:val="both"/>
              <w:rPr>
                <w:rFonts w:ascii="Times New Roman" w:hAnsi="Times New Roman" w:eastAsia="Times New Roman" w:cs="Times New Roman"/>
                <w:color w:val="000000" w:themeColor="text1"/>
                <w:sz w:val="24"/>
                <w:szCs w:val="24"/>
              </w:rPr>
            </w:pPr>
            <w:r>
              <w:rPr>
                <w:rFonts w:eastAsia="Times New Roman" w:cs="Times New Roman" w:ascii="Times New Roman" w:hAnsi="Times New Roman"/>
                <w:color w:val="000000" w:themeColor="text1"/>
                <w:sz w:val="24"/>
                <w:szCs w:val="24"/>
              </w:rPr>
              <w:t>Не размещены сведения об учредителе (учредителях).</w:t>
            </w:r>
          </w:p>
          <w:p>
            <w:pPr>
              <w:pStyle w:val="ListParagraph"/>
              <w:numPr>
                <w:ilvl w:val="1"/>
                <w:numId w:val="3"/>
              </w:numPr>
              <w:tabs>
                <w:tab w:val="left" w:pos="176" w:leader="none"/>
                <w:tab w:val="left" w:pos="317" w:leader="none"/>
                <w:tab w:val="left" w:pos="459" w:leader="none"/>
              </w:tabs>
              <w:spacing w:lineRule="auto" w:line="240" w:before="0" w:after="0"/>
              <w:ind w:left="0" w:hanging="0"/>
              <w:contextualSpacing/>
              <w:jc w:val="both"/>
              <w:rPr>
                <w:rFonts w:ascii="Times New Roman" w:hAnsi="Times New Roman" w:eastAsia="Times New Roman" w:cs="Times New Roman"/>
                <w:color w:val="000000" w:themeColor="text1"/>
                <w:sz w:val="24"/>
                <w:szCs w:val="24"/>
              </w:rPr>
            </w:pPr>
            <w:r>
              <w:rPr>
                <w:rFonts w:eastAsia="Times New Roman" w:cs="Times New Roman" w:ascii="Times New Roman" w:hAnsi="Times New Roman"/>
                <w:color w:val="000000" w:themeColor="text1"/>
                <w:sz w:val="24"/>
                <w:szCs w:val="24"/>
              </w:rPr>
              <w:t>Не размещена копия свидетельства о государственной регистрации.</w:t>
            </w:r>
          </w:p>
          <w:p>
            <w:pPr>
              <w:pStyle w:val="ListParagraph"/>
              <w:numPr>
                <w:ilvl w:val="1"/>
                <w:numId w:val="3"/>
              </w:numPr>
              <w:tabs>
                <w:tab w:val="left" w:pos="176" w:leader="none"/>
                <w:tab w:val="left" w:pos="317" w:leader="none"/>
                <w:tab w:val="left" w:pos="459" w:leader="none"/>
              </w:tabs>
              <w:spacing w:lineRule="auto" w:line="240" w:before="0" w:after="0"/>
              <w:ind w:left="0" w:hanging="0"/>
              <w:contextualSpacing/>
              <w:jc w:val="both"/>
              <w:rPr>
                <w:rFonts w:ascii="Times New Roman" w:hAnsi="Times New Roman" w:eastAsia="Times New Roman" w:cs="Times New Roman"/>
                <w:color w:val="000000" w:themeColor="text1"/>
                <w:sz w:val="24"/>
                <w:szCs w:val="24"/>
              </w:rPr>
            </w:pPr>
            <w:r>
              <w:rPr>
                <w:rFonts w:eastAsia="Times New Roman" w:cs="Times New Roman" w:ascii="Times New Roman" w:hAnsi="Times New Roman"/>
                <w:color w:val="000000" w:themeColor="text1"/>
                <w:sz w:val="24"/>
                <w:szCs w:val="24"/>
              </w:rPr>
              <w:t>Не размещена копия решение учредителя о создании и о назначении руководителя организации культуры.</w:t>
            </w:r>
          </w:p>
          <w:p>
            <w:pPr>
              <w:pStyle w:val="ListParagraph"/>
              <w:numPr>
                <w:ilvl w:val="1"/>
                <w:numId w:val="3"/>
              </w:numPr>
              <w:tabs>
                <w:tab w:val="left" w:pos="176" w:leader="none"/>
                <w:tab w:val="left" w:pos="317" w:leader="none"/>
                <w:tab w:val="left" w:pos="459" w:leader="none"/>
              </w:tabs>
              <w:spacing w:lineRule="auto" w:line="240" w:before="0" w:after="0"/>
              <w:ind w:left="0" w:hanging="0"/>
              <w:contextualSpacing/>
              <w:jc w:val="both"/>
              <w:rPr>
                <w:rFonts w:ascii="Times New Roman" w:hAnsi="Times New Roman" w:eastAsia="Times New Roman" w:cs="Times New Roman"/>
                <w:color w:val="000000" w:themeColor="text1"/>
                <w:sz w:val="24"/>
                <w:szCs w:val="24"/>
              </w:rPr>
            </w:pPr>
            <w:r>
              <w:rPr>
                <w:rFonts w:eastAsia="Times New Roman" w:cs="Times New Roman" w:ascii="Times New Roman" w:hAnsi="Times New Roman"/>
                <w:color w:val="000000" w:themeColor="text1"/>
                <w:sz w:val="24"/>
                <w:szCs w:val="24"/>
              </w:rPr>
              <w:t>Отсутствуют сведения о структуре организации культуры (структура и органы управления организации культуры).</w:t>
            </w:r>
          </w:p>
          <w:p>
            <w:pPr>
              <w:pStyle w:val="ListParagraph"/>
              <w:numPr>
                <w:ilvl w:val="1"/>
                <w:numId w:val="3"/>
              </w:numPr>
              <w:tabs>
                <w:tab w:val="left" w:pos="34" w:leader="none"/>
                <w:tab w:val="left" w:pos="176" w:leader="none"/>
                <w:tab w:val="left" w:pos="317" w:leader="none"/>
                <w:tab w:val="left" w:pos="459" w:leader="none"/>
              </w:tabs>
              <w:spacing w:lineRule="auto" w:line="240" w:before="0" w:after="0"/>
              <w:ind w:left="0" w:hanging="0"/>
              <w:contextualSpacing/>
              <w:jc w:val="both"/>
              <w:rPr>
                <w:rFonts w:ascii="Times New Roman" w:hAnsi="Times New Roman" w:eastAsia="Times New Roman" w:cs="Times New Roman"/>
                <w:color w:val="000000" w:themeColor="text1"/>
                <w:sz w:val="24"/>
                <w:szCs w:val="24"/>
              </w:rPr>
            </w:pPr>
            <w:r>
              <w:rPr>
                <w:rFonts w:cs="Times New Roman" w:ascii="Times New Roman" w:hAnsi="Times New Roman"/>
                <w:color w:val="000000" w:themeColor="text1"/>
                <w:sz w:val="24"/>
                <w:szCs w:val="24"/>
              </w:rPr>
              <w:t>Не размещены копии нормативных правовых актов, устанавливающих цены (тарифы) на услуги либо порядок их установления.</w:t>
            </w:r>
          </w:p>
          <w:p>
            <w:pPr>
              <w:pStyle w:val="ListParagraph"/>
              <w:numPr>
                <w:ilvl w:val="1"/>
                <w:numId w:val="3"/>
              </w:numPr>
              <w:tabs>
                <w:tab w:val="left" w:pos="34" w:leader="none"/>
                <w:tab w:val="left" w:pos="176" w:leader="none"/>
                <w:tab w:val="left" w:pos="317" w:leader="none"/>
                <w:tab w:val="left" w:pos="459" w:leader="none"/>
              </w:tabs>
              <w:spacing w:lineRule="auto" w:line="240" w:before="0" w:after="0"/>
              <w:ind w:left="0" w:hanging="0"/>
              <w:contextualSpacing/>
              <w:jc w:val="both"/>
              <w:rPr>
                <w:rFonts w:ascii="Times New Roman" w:hAnsi="Times New Roman" w:eastAsia="Times New Roman" w:cs="Times New Roman"/>
                <w:color w:val="000000" w:themeColor="text1"/>
                <w:sz w:val="24"/>
                <w:szCs w:val="24"/>
              </w:rPr>
            </w:pPr>
            <w:r>
              <w:rPr>
                <w:rFonts w:eastAsia="Times New Roman" w:cs="Times New Roman" w:ascii="Times New Roman" w:hAnsi="Times New Roman"/>
                <w:color w:val="000000" w:themeColor="text1"/>
                <w:sz w:val="24"/>
                <w:szCs w:val="24"/>
              </w:rPr>
              <w:t>Не размещена информация о материально-техническом обеспечении предоставления услуг организацией культуры.</w:t>
            </w:r>
          </w:p>
          <w:p>
            <w:pPr>
              <w:pStyle w:val="ListParagraph"/>
              <w:numPr>
                <w:ilvl w:val="1"/>
                <w:numId w:val="3"/>
              </w:numPr>
              <w:tabs>
                <w:tab w:val="left" w:pos="34" w:leader="none"/>
                <w:tab w:val="left" w:pos="176" w:leader="none"/>
                <w:tab w:val="left" w:pos="317" w:leader="none"/>
                <w:tab w:val="left" w:pos="459" w:leader="none"/>
              </w:tabs>
              <w:spacing w:lineRule="auto" w:line="240" w:before="0" w:after="0"/>
              <w:ind w:left="0" w:hanging="0"/>
              <w:contextualSpacing/>
              <w:jc w:val="both"/>
              <w:rPr>
                <w:rFonts w:ascii="Times New Roman" w:hAnsi="Times New Roman" w:eastAsia="Times New Roman" w:cs="Times New Roman"/>
                <w:color w:val="000000" w:themeColor="text1"/>
                <w:sz w:val="24"/>
                <w:szCs w:val="24"/>
              </w:rPr>
            </w:pPr>
            <w:r>
              <w:rPr>
                <w:rFonts w:eastAsia="Times New Roman" w:cs="Times New Roman" w:ascii="Times New Roman" w:hAnsi="Times New Roman"/>
                <w:color w:val="000000" w:themeColor="text1"/>
                <w:sz w:val="24"/>
                <w:szCs w:val="24"/>
              </w:rPr>
              <w:t>Не размещена информация о планируемых мероприятиях.</w:t>
            </w:r>
          </w:p>
          <w:p>
            <w:pPr>
              <w:pStyle w:val="ListParagraph"/>
              <w:numPr>
                <w:ilvl w:val="1"/>
                <w:numId w:val="3"/>
              </w:numPr>
              <w:tabs>
                <w:tab w:val="left" w:pos="34" w:leader="none"/>
                <w:tab w:val="left" w:pos="176" w:leader="none"/>
                <w:tab w:val="left" w:pos="317" w:leader="none"/>
                <w:tab w:val="left" w:pos="459" w:leader="none"/>
              </w:tabs>
              <w:spacing w:lineRule="auto" w:line="240" w:before="0" w:after="0"/>
              <w:ind w:left="0" w:hanging="0"/>
              <w:contextualSpacing/>
              <w:jc w:val="both"/>
              <w:rPr>
                <w:rFonts w:ascii="Times New Roman" w:hAnsi="Times New Roman" w:eastAsia="Times New Roman" w:cs="Times New Roman"/>
                <w:color w:val="000000" w:themeColor="text1"/>
                <w:sz w:val="24"/>
                <w:szCs w:val="24"/>
              </w:rPr>
            </w:pPr>
            <w:r>
              <w:rPr>
                <w:rFonts w:cs="Times New Roman" w:ascii="Times New Roman" w:hAnsi="Times New Roman"/>
                <w:color w:val="000000" w:themeColor="text1"/>
                <w:sz w:val="24"/>
                <w:szCs w:val="24"/>
              </w:rPr>
              <w:t>Не размещена информация о выполнении государственного (муниципального) задания (за предыдущий период).</w:t>
            </w:r>
          </w:p>
          <w:p>
            <w:pPr>
              <w:pStyle w:val="ListParagraph"/>
              <w:numPr>
                <w:ilvl w:val="1"/>
                <w:numId w:val="3"/>
              </w:numPr>
              <w:tabs>
                <w:tab w:val="left" w:pos="34" w:leader="none"/>
                <w:tab w:val="left" w:pos="176" w:leader="none"/>
                <w:tab w:val="left" w:pos="317" w:leader="none"/>
                <w:tab w:val="left" w:pos="459" w:leader="none"/>
              </w:tabs>
              <w:spacing w:lineRule="auto" w:line="240" w:before="0" w:after="0"/>
              <w:ind w:left="0" w:hanging="0"/>
              <w:contextualSpacing/>
              <w:jc w:val="both"/>
              <w:rPr>
                <w:rFonts w:ascii="Times New Roman" w:hAnsi="Times New Roman" w:eastAsia="Times New Roman" w:cs="Times New Roman"/>
                <w:color w:val="000000" w:themeColor="text1"/>
                <w:sz w:val="24"/>
                <w:szCs w:val="24"/>
              </w:rPr>
            </w:pPr>
            <w:r>
              <w:rPr>
                <w:rFonts w:cs="Times New Roman" w:ascii="Times New Roman" w:hAnsi="Times New Roman"/>
                <w:color w:val="000000" w:themeColor="text1"/>
                <w:sz w:val="24"/>
                <w:szCs w:val="24"/>
              </w:rPr>
              <w:t>Не размещена копия отчета о результатах деятельности учреждения (за предыдущий период).</w:t>
            </w:r>
          </w:p>
          <w:p>
            <w:pPr>
              <w:pStyle w:val="ListParagraph"/>
              <w:numPr>
                <w:ilvl w:val="1"/>
                <w:numId w:val="3"/>
              </w:numPr>
              <w:tabs>
                <w:tab w:val="left" w:pos="34" w:leader="none"/>
                <w:tab w:val="left" w:pos="176" w:leader="none"/>
                <w:tab w:val="left" w:pos="317" w:leader="none"/>
                <w:tab w:val="left" w:pos="459" w:leader="none"/>
              </w:tabs>
              <w:spacing w:lineRule="auto" w:line="240" w:before="0" w:after="0"/>
              <w:ind w:left="0" w:hanging="0"/>
              <w:contextualSpacing/>
              <w:jc w:val="both"/>
              <w:rPr>
                <w:rFonts w:ascii="Times New Roman" w:hAnsi="Times New Roman" w:eastAsia="Times New Roman" w:cs="Times New Roman"/>
                <w:color w:val="000000" w:themeColor="text1"/>
                <w:sz w:val="24"/>
                <w:szCs w:val="24"/>
              </w:rPr>
            </w:pPr>
            <w:r>
              <w:rPr>
                <w:rFonts w:cs="Times New Roman" w:ascii="Times New Roman" w:hAnsi="Times New Roman"/>
                <w:color w:val="000000" w:themeColor="text1"/>
                <w:sz w:val="24"/>
                <w:szCs w:val="24"/>
              </w:rPr>
              <w:t>Не размещена информация о планируемых сроках проведения независимой оценки качества.</w:t>
            </w:r>
          </w:p>
        </w:tc>
      </w:tr>
    </w:tbl>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Сформулируем выводы и обобщения по таблице 3.3:</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1) Необходимо размещать на сайте больший объем документов, регламентирующих и характеризующих деятельность организации (учредительные документы, локальные нормативные акты, плановые и отчетные документы за соответствующие периоды времени).</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2) Желательно размещать на сайте подробное описание материально-технического обеспечения организации, ориентированное, в первую очередь, на получателей услуг.</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3) Ответственные специалисты организации могут использовать для самопроверки наполненности сайта актуальной информацией Приложение 2 данного отчета или требования, изложенные в Приказе Министерства культуры Российской Федерации от 20 февраля 2015 г. № 277.</w:t>
      </w:r>
    </w:p>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r>
        <w:br w:type="page"/>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В рамках данного раздела, на основе изучения мнения респондентов, также осуществлена оценка доли получателей услуг, удовлетворенных открытостью, полнотой и доступностью информации о деятельности организации, размещенной на информационных стендах и на сайте в информационно-телекоммуникационной сети «Интернет».</w:t>
      </w:r>
    </w:p>
    <w:p>
      <w:pPr>
        <w:pStyle w:val="Normal"/>
        <w:spacing w:lineRule="auto" w:line="360" w:before="0" w:after="0"/>
        <w:ind w:firstLine="709"/>
        <w:jc w:val="both"/>
        <w:rPr>
          <w:rFonts w:ascii="Times New Roman" w:hAnsi="Times New Roman" w:eastAsia="Calibri" w:cs="Times New Roman" w:eastAsiaTheme="minorHAnsi"/>
          <w:color w:val="000000" w:themeColor="text1"/>
          <w:sz w:val="28"/>
          <w:szCs w:val="28"/>
          <w:highlight w:val="white"/>
          <w:lang w:eastAsia="en-US"/>
        </w:rPr>
      </w:pPr>
      <w:r>
        <w:rPr>
          <w:rFonts w:cs="Times New Roman" w:ascii="Times New Roman" w:hAnsi="Times New Roman"/>
          <w:color w:val="000000" w:themeColor="text1"/>
          <w:sz w:val="28"/>
          <w:szCs w:val="28"/>
        </w:rPr>
        <w:t xml:space="preserve">Анализ результатов восприятия получателями услуг </w:t>
      </w:r>
      <w:r>
        <w:rPr>
          <w:rFonts w:cs="Times New Roman" w:ascii="Times New Roman" w:hAnsi="Times New Roman"/>
          <w:i/>
          <w:color w:val="000000" w:themeColor="text1"/>
          <w:sz w:val="28"/>
          <w:szCs w:val="28"/>
        </w:rPr>
        <w:t xml:space="preserve">открытости, полноты и доступности информации </w:t>
      </w:r>
      <w:r>
        <w:rPr>
          <w:rFonts w:cs="Times New Roman" w:ascii="Times New Roman" w:hAnsi="Times New Roman"/>
          <w:color w:val="000000" w:themeColor="text1"/>
          <w:sz w:val="28"/>
          <w:szCs w:val="28"/>
        </w:rPr>
        <w:t>о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r>
        <w:rPr>
          <w:rFonts w:eastAsia="Calibri" w:cs="Times New Roman" w:ascii="Times New Roman" w:hAnsi="Times New Roman" w:eastAsiaTheme="minorHAnsi"/>
          <w:color w:val="000000" w:themeColor="text1"/>
          <w:sz w:val="28"/>
          <w:szCs w:val="28"/>
          <w:shd w:fill="FFFFFF" w:val="clear"/>
          <w:lang w:eastAsia="en-US"/>
        </w:rPr>
        <w:t xml:space="preserve"> </w:t>
      </w:r>
      <w:r>
        <w:rPr>
          <w:rFonts w:cs="Times New Roman" w:ascii="Times New Roman" w:hAnsi="Times New Roman"/>
          <w:color w:val="000000" w:themeColor="text1"/>
          <w:sz w:val="28"/>
          <w:szCs w:val="28"/>
        </w:rPr>
        <w:t>показывает, что респонденты высоко оценивают изучаемые параметры по отношению к информационным стендам и официальному сайту организации (доля удовлетворенных получателей услуг, средние оценки параметров) (таблицы 3.4-3.5):</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открытостью, полнотой и доступностью информации о деятельности организации, размещенной на информационных стендах (оценка удовлетворенности – 98,4%; средняя оценка параметра – 98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val="en-US" w:eastAsia="en-US"/>
        </w:rPr>
      </w:pPr>
      <w:r>
        <w:rPr>
          <w:rFonts w:eastAsia="Calibri" w:cs="Times New Roman" w:ascii="Times New Roman" w:hAnsi="Times New Roman"/>
          <w:color w:val="000000" w:themeColor="text1"/>
          <w:sz w:val="28"/>
          <w:szCs w:val="28"/>
          <w:lang w:eastAsia="en-US"/>
        </w:rPr>
        <w:t>- удовлетворенность открытостью, полнотой и доступностью информации о деятельности организации, размещенной на сайте в сети «Интернет» (оценка удовлетворенности – 98,6%; средняя оценка параметра – 99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3.4 – Доля получателей услуг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удовлетворенных открытостью, полнотой и доступностью</w:t>
        <w:br/>
        <w:t>информации о деятельности организации, %</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844"/>
        <w:gridCol w:w="6101"/>
        <w:gridCol w:w="2411"/>
      </w:tblGrid>
      <w:tr>
        <w:trPr/>
        <w:tc>
          <w:tcPr>
            <w:tcW w:w="844"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610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241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ССДК</w:t>
            </w:r>
          </w:p>
        </w:tc>
      </w:tr>
      <w:tr>
        <w:trPr/>
        <w:tc>
          <w:tcPr>
            <w:tcW w:w="844"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c>
          <w:tcPr>
            <w:tcW w:w="8512"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Открытость и доступность информации об организации</w:t>
            </w:r>
          </w:p>
        </w:tc>
      </w:tr>
      <w:tr>
        <w:trPr/>
        <w:tc>
          <w:tcPr>
            <w:tcW w:w="844"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w:t>
            </w:r>
          </w:p>
        </w:tc>
        <w:tc>
          <w:tcPr>
            <w:tcW w:w="8512" w:type="dxa"/>
            <w:gridSpan w:val="2"/>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открытостью, полнотой и доступностью информации о деятельности организации, размещенной:</w:t>
            </w:r>
          </w:p>
        </w:tc>
      </w:tr>
      <w:tr>
        <w:trPr/>
        <w:tc>
          <w:tcPr>
            <w:tcW w:w="844"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1.3.1</w:t>
            </w:r>
          </w:p>
        </w:tc>
        <w:tc>
          <w:tcPr>
            <w:tcW w:w="610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 информационных стендах;</w:t>
            </w:r>
          </w:p>
        </w:tc>
        <w:tc>
          <w:tcPr>
            <w:tcW w:w="2411"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98,4</w:t>
            </w:r>
          </w:p>
        </w:tc>
      </w:tr>
      <w:tr>
        <w:trPr/>
        <w:tc>
          <w:tcPr>
            <w:tcW w:w="844"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1.3.2</w:t>
            </w:r>
          </w:p>
        </w:tc>
        <w:tc>
          <w:tcPr>
            <w:tcW w:w="610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 сайте в информационно-телекоммуникационной сети «Интернет».</w:t>
            </w:r>
          </w:p>
        </w:tc>
        <w:tc>
          <w:tcPr>
            <w:tcW w:w="2411"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98,6</w:t>
            </w:r>
          </w:p>
        </w:tc>
      </w:tr>
    </w:tbl>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before="0" w:after="0"/>
        <w:jc w:val="center"/>
        <w:rPr>
          <w:rFonts w:ascii="Times New Roman" w:hAnsi="Times New Roman" w:cs="Times New Roman"/>
          <w:color w:val="000000" w:themeColor="text1"/>
          <w:sz w:val="28"/>
          <w:szCs w:val="28"/>
          <w:highlight w:val="white"/>
        </w:rPr>
      </w:pPr>
      <w:r>
        <w:rPr>
          <w:rFonts w:cs="Times New Roman" w:ascii="Times New Roman" w:hAnsi="Times New Roman"/>
          <w:color w:val="000000" w:themeColor="text1"/>
          <w:sz w:val="28"/>
          <w:szCs w:val="28"/>
        </w:rPr>
        <w:t>Таблица 3.5 – Средние значения оценки параметров, характеризующих удовлетворенность получателей услуг открытостью, полнотой и доступностью информации о деятельности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баллы</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844"/>
        <w:gridCol w:w="6101"/>
        <w:gridCol w:w="2411"/>
      </w:tblGrid>
      <w:tr>
        <w:trPr/>
        <w:tc>
          <w:tcPr>
            <w:tcW w:w="844"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610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241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ССДК</w:t>
            </w:r>
          </w:p>
        </w:tc>
      </w:tr>
      <w:tr>
        <w:trPr/>
        <w:tc>
          <w:tcPr>
            <w:tcW w:w="844"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c>
          <w:tcPr>
            <w:tcW w:w="8512"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Открытость и доступность информации об организации</w:t>
            </w:r>
          </w:p>
        </w:tc>
      </w:tr>
      <w:tr>
        <w:trPr/>
        <w:tc>
          <w:tcPr>
            <w:tcW w:w="844"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w:t>
            </w:r>
          </w:p>
        </w:tc>
        <w:tc>
          <w:tcPr>
            <w:tcW w:w="8512" w:type="dxa"/>
            <w:gridSpan w:val="2"/>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открытостью, полнотой и доступностью информации о деятельности организации, размещенной:</w:t>
            </w:r>
          </w:p>
        </w:tc>
      </w:tr>
      <w:tr>
        <w:trPr/>
        <w:tc>
          <w:tcPr>
            <w:tcW w:w="844"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1.3.1</w:t>
            </w:r>
          </w:p>
        </w:tc>
        <w:tc>
          <w:tcPr>
            <w:tcW w:w="610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 информационных стендах;</w:t>
            </w:r>
          </w:p>
        </w:tc>
        <w:tc>
          <w:tcPr>
            <w:tcW w:w="2411"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98</w:t>
            </w:r>
          </w:p>
        </w:tc>
      </w:tr>
      <w:tr>
        <w:trPr/>
        <w:tc>
          <w:tcPr>
            <w:tcW w:w="844"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1.3.2</w:t>
            </w:r>
          </w:p>
        </w:tc>
        <w:tc>
          <w:tcPr>
            <w:tcW w:w="610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 сайте в информационно-телекоммуникационной сети «Интернет».</w:t>
            </w:r>
          </w:p>
        </w:tc>
        <w:tc>
          <w:tcPr>
            <w:tcW w:w="2411"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99</w:t>
            </w:r>
          </w:p>
        </w:tc>
      </w:tr>
      <w:tr>
        <w:trPr/>
        <w:tc>
          <w:tcPr>
            <w:tcW w:w="844"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p>
        </w:tc>
        <w:tc>
          <w:tcPr>
            <w:tcW w:w="6101" w:type="dxa"/>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В среднем по пп. 1.3.1-1.3.2 (максимум – 100 баллов)</w:t>
            </w:r>
          </w:p>
        </w:tc>
        <w:tc>
          <w:tcPr>
            <w:tcW w:w="2411"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99</w:t>
            </w:r>
          </w:p>
        </w:tc>
      </w:tr>
    </w:tbl>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i/>
          <w:color w:val="000000" w:themeColor="text1"/>
          <w:sz w:val="28"/>
          <w:szCs w:val="28"/>
          <w:lang w:eastAsia="en-US"/>
        </w:rPr>
        <w:t>Интегральные показатели</w:t>
      </w:r>
      <w:r>
        <w:rPr>
          <w:rFonts w:eastAsia="Calibri" w:cs="Times New Roman" w:ascii="Times New Roman" w:hAnsi="Times New Roman"/>
          <w:color w:val="000000" w:themeColor="text1"/>
          <w:sz w:val="28"/>
          <w:szCs w:val="28"/>
          <w:lang w:eastAsia="en-US"/>
        </w:rPr>
        <w:t>, характеризующие открытость и доступность информации о МБУК «</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 представлены в таблице 3.6 и на рисунке 3.1.</w:t>
      </w:r>
    </w:p>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3.6 – Интегральные показатели, характеризующие открытость и доступность информации о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581"/>
        <w:gridCol w:w="4381"/>
        <w:gridCol w:w="992"/>
        <w:gridCol w:w="1843"/>
        <w:gridCol w:w="1559"/>
      </w:tblGrid>
      <w:tr>
        <w:trPr/>
        <w:tc>
          <w:tcPr>
            <w:tcW w:w="58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438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992"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Баллы</w:t>
            </w:r>
          </w:p>
        </w:tc>
        <w:tc>
          <w:tcPr>
            <w:tcW w:w="1843"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Коэффициент значимости показателя</w:t>
            </w:r>
          </w:p>
        </w:tc>
        <w:tc>
          <w:tcPr>
            <w:tcW w:w="1559"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Значение показателя, баллы</w:t>
            </w:r>
          </w:p>
        </w:tc>
      </w:tr>
      <w:tr>
        <w:trPr/>
        <w:tc>
          <w:tcPr>
            <w:tcW w:w="581" w:type="dxa"/>
            <w:tcBorders/>
            <w:shd w:color="auto" w:fill="D9D9D9" w:themeFill="background1" w:themeFillShade="d9"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c>
          <w:tcPr>
            <w:tcW w:w="8775" w:type="dxa"/>
            <w:gridSpan w:val="4"/>
            <w:tcBorders/>
            <w:shd w:color="auto" w:fill="D9D9D9" w:themeFill="background1" w:themeFillShade="d9" w:val="clear"/>
          </w:tcPr>
          <w:p>
            <w:pPr>
              <w:pStyle w:val="Normal"/>
              <w:spacing w:lineRule="auto" w:line="240" w:before="0" w:after="0"/>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Открытость и доступность информации об организации</w:t>
            </w:r>
          </w:p>
        </w:tc>
      </w:tr>
      <w:tr>
        <w:trPr/>
        <w:tc>
          <w:tcPr>
            <w:tcW w:w="58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1.1</w:t>
            </w:r>
          </w:p>
        </w:tc>
        <w:tc>
          <w:tcPr>
            <w:tcW w:w="4381"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78</w:t>
            </w:r>
          </w:p>
        </w:tc>
        <w:tc>
          <w:tcPr>
            <w:tcW w:w="1843"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0,3</w:t>
            </w:r>
          </w:p>
        </w:tc>
        <w:tc>
          <w:tcPr>
            <w:tcW w:w="1559"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23,4</w:t>
            </w:r>
          </w:p>
        </w:tc>
      </w:tr>
      <w:tr>
        <w:trPr/>
        <w:tc>
          <w:tcPr>
            <w:tcW w:w="58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1.2</w:t>
            </w:r>
          </w:p>
        </w:tc>
        <w:tc>
          <w:tcPr>
            <w:tcW w:w="4381"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90</w:t>
            </w:r>
          </w:p>
        </w:tc>
        <w:tc>
          <w:tcPr>
            <w:tcW w:w="1843"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0,3</w:t>
            </w:r>
          </w:p>
        </w:tc>
        <w:tc>
          <w:tcPr>
            <w:tcW w:w="1559"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27,0</w:t>
            </w:r>
          </w:p>
        </w:tc>
      </w:tr>
      <w:tr>
        <w:trPr/>
        <w:tc>
          <w:tcPr>
            <w:tcW w:w="58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w:t>
            </w:r>
          </w:p>
        </w:tc>
        <w:tc>
          <w:tcPr>
            <w:tcW w:w="4381"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открытостью, полнотой и доступностью информации о деятельности организации</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99</w:t>
            </w:r>
          </w:p>
        </w:tc>
        <w:tc>
          <w:tcPr>
            <w:tcW w:w="1843"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0,4</w:t>
            </w:r>
          </w:p>
        </w:tc>
        <w:tc>
          <w:tcPr>
            <w:tcW w:w="1559"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39,4</w:t>
            </w:r>
          </w:p>
        </w:tc>
      </w:tr>
      <w:tr>
        <w:trPr/>
        <w:tc>
          <w:tcPr>
            <w:tcW w:w="581"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7216" w:type="dxa"/>
            <w:gridSpan w:val="3"/>
            <w:tcBorders/>
            <w:shd w:color="auto" w:fill="D9D9D9" w:themeFill="background1" w:themeFillShade="d9" w:val="clear"/>
          </w:tcPr>
          <w:p>
            <w:pPr>
              <w:pStyle w:val="Normal"/>
              <w:spacing w:lineRule="auto" w:line="240" w:before="0" w:after="0"/>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Всего по показателю 1, баллов</w:t>
            </w:r>
          </w:p>
        </w:tc>
        <w:tc>
          <w:tcPr>
            <w:tcW w:w="1559"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90</w:t>
            </w:r>
          </w:p>
        </w:tc>
      </w:tr>
    </w:tbl>
    <w:p>
      <w:pPr>
        <w:pStyle w:val="Normal"/>
        <w:spacing w:lineRule="auto" w:line="360" w:before="0" w:after="0"/>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lineRule="auto" w:line="240" w:before="0" w:after="0"/>
        <w:jc w:val="center"/>
        <w:rPr>
          <w:rFonts w:ascii="Times New Roman" w:hAnsi="Times New Roman" w:cs="Times New Roman"/>
          <w:color w:val="000000" w:themeColor="text1"/>
          <w:sz w:val="28"/>
          <w:szCs w:val="28"/>
        </w:rPr>
      </w:pPr>
      <w:r>
        <w:rPr/>
        <w:drawing>
          <wp:inline distT="0" distB="3810" distL="0" distR="0">
            <wp:extent cx="5944235" cy="3596640"/>
            <wp:effectExtent l="0" t="0" r="0" b="0"/>
            <wp:docPr id="3"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
                    <pic:cNvPicPr>
                      <a:picLocks noChangeAspect="1" noChangeArrowheads="1"/>
                    </pic:cNvPicPr>
                  </pic:nvPicPr>
                  <pic:blipFill>
                    <a:blip r:embed="rId5"/>
                    <a:stretch>
                      <a:fillRect/>
                    </a:stretch>
                  </pic:blipFill>
                  <pic:spPr bwMode="auto">
                    <a:xfrm>
                      <a:off x="0" y="0"/>
                      <a:ext cx="5944235" cy="3596640"/>
                    </a:xfrm>
                    <a:prstGeom prst="rect">
                      <a:avLst/>
                    </a:prstGeom>
                  </pic:spPr>
                </pic:pic>
              </a:graphicData>
            </a:graphic>
          </wp:inline>
        </w:drawing>
      </w:r>
    </w:p>
    <w:p>
      <w:pPr>
        <w:pStyle w:val="Normal"/>
        <w:spacing w:before="0" w:after="0"/>
        <w:jc w:val="center"/>
        <w:rPr>
          <w:rFonts w:ascii="Times New Roman" w:hAnsi="Times New Roman" w:eastAsia="Calibri" w:cs="Times New Roman"/>
          <w:color w:val="000000" w:themeColor="text1"/>
          <w:sz w:val="28"/>
          <w:szCs w:val="28"/>
          <w:lang w:eastAsia="en-US"/>
        </w:rPr>
      </w:pPr>
      <w:r>
        <w:rPr>
          <w:rFonts w:eastAsia="Calibri" w:ascii="Times New Roman" w:hAnsi="Times New Roman" w:eastAsiaTheme="minorHAnsi"/>
          <w:color w:val="000000" w:themeColor="text1"/>
          <w:sz w:val="28"/>
          <w:szCs w:val="28"/>
        </w:rPr>
        <w:t xml:space="preserve">Рисунок 3.1 – </w:t>
      </w:r>
      <w:r>
        <w:rPr>
          <w:rFonts w:eastAsia="Calibri" w:cs="Times New Roman" w:ascii="Times New Roman" w:hAnsi="Times New Roman"/>
          <w:color w:val="000000" w:themeColor="text1"/>
          <w:sz w:val="28"/>
          <w:szCs w:val="28"/>
          <w:lang w:eastAsia="en-US"/>
        </w:rPr>
        <w:t xml:space="preserve">Интегральные показатели, характеризующие открытость и доступность информации о </w:t>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r>
        <w:rPr>
          <w:rFonts w:eastAsia="Calibri" w:cs="Times New Roman" w:ascii="Times New Roman" w:hAnsi="Times New Roman"/>
          <w:color w:val="000000" w:themeColor="text1"/>
          <w:sz w:val="28"/>
          <w:szCs w:val="28"/>
          <w:lang w:eastAsia="en-US"/>
        </w:rPr>
        <w:t xml:space="preserve"> баллы</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color w:val="000000" w:themeColor="text1"/>
          <w:sz w:val="28"/>
          <w:szCs w:val="28"/>
          <w:lang w:eastAsia="en-US"/>
        </w:rPr>
        <w:t>Анализ интегральных показателей МБУК «</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 показывает, что в отношении открытости и доступности информации зафиксированные оценки параметров находятся на хорошем и высоком уровне:</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1.1 – 23,4 балла из 30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1.2 – 27 баллов из 30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1.3 – 39,4 балла из 40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eastAsiaTheme="minorHAnsi"/>
          <w:color w:val="000000" w:themeColor="text1"/>
          <w:sz w:val="28"/>
          <w:szCs w:val="28"/>
          <w:lang w:eastAsia="en-US"/>
        </w:rPr>
        <w:t xml:space="preserve">Таким образом, </w:t>
      </w:r>
      <w:r>
        <w:rPr>
          <w:rFonts w:cs="Times New Roman" w:ascii="Times New Roman" w:hAnsi="Times New Roman"/>
          <w:color w:val="000000" w:themeColor="text1"/>
          <w:sz w:val="28"/>
          <w:szCs w:val="28"/>
        </w:rPr>
        <w:t xml:space="preserve">МБУК </w:t>
      </w:r>
      <w:r>
        <w:rPr>
          <w:rFonts w:eastAsia="Calibri" w:cs="Times New Roman" w:ascii="Times New Roman" w:hAnsi="Times New Roman"/>
          <w:color w:val="000000" w:themeColor="text1"/>
          <w:sz w:val="28"/>
          <w:szCs w:val="28"/>
          <w:lang w:eastAsia="en-US"/>
        </w:rPr>
        <w:t>«</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w:t>
      </w:r>
      <w:r>
        <w:rPr>
          <w:rFonts w:cs="Times New Roman" w:ascii="Times New Roman" w:hAnsi="Times New Roman"/>
          <w:color w:val="000000" w:themeColor="text1"/>
          <w:sz w:val="28"/>
          <w:szCs w:val="28"/>
        </w:rPr>
        <w:t xml:space="preserve"> </w:t>
      </w:r>
      <w:r>
        <w:rPr>
          <w:rFonts w:eastAsia="Calibri" w:cs="Times New Roman" w:ascii="Times New Roman" w:hAnsi="Times New Roman" w:eastAsiaTheme="minorHAnsi"/>
          <w:color w:val="000000" w:themeColor="text1"/>
          <w:sz w:val="28"/>
          <w:szCs w:val="28"/>
          <w:lang w:eastAsia="en-US"/>
        </w:rPr>
        <w:t xml:space="preserve">показало отличный результат по показателям данного раздела </w:t>
      </w:r>
      <w:r>
        <w:rPr>
          <w:rFonts w:cs="Times New Roman" w:ascii="Times New Roman" w:hAnsi="Times New Roman"/>
          <w:color w:val="000000" w:themeColor="text1"/>
          <w:sz w:val="28"/>
          <w:szCs w:val="28"/>
        </w:rPr>
        <w:t>(90 баллов из 100 возможных).</w:t>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keepNext w:val="true"/>
        <w:keepLines/>
        <w:numPr>
          <w:ilvl w:val="0"/>
          <w:numId w:val="0"/>
        </w:numPr>
        <w:spacing w:before="0" w:after="0"/>
        <w:ind w:hanging="0"/>
        <w:jc w:val="center"/>
        <w:outlineLvl w:val="0"/>
        <w:rPr>
          <w:rFonts w:ascii="Times New Roman" w:hAnsi="Times New Roman" w:eastAsia="Times New Roman" w:cs="Times New Roman"/>
          <w:b/>
          <w:b/>
          <w:bCs/>
          <w:color w:val="000000" w:themeColor="text1"/>
          <w:sz w:val="28"/>
          <w:szCs w:val="28"/>
        </w:rPr>
      </w:pPr>
      <w:bookmarkStart w:id="14" w:name="_Toc58223943"/>
      <w:bookmarkStart w:id="15" w:name="_Toc57800861"/>
      <w:bookmarkStart w:id="16" w:name="_Toc468106513"/>
      <w:bookmarkStart w:id="17" w:name="_Toc455479801"/>
      <w:r>
        <w:rPr>
          <w:rFonts w:eastAsia="Times New Roman" w:cs="Times New Roman" w:ascii="Times New Roman" w:hAnsi="Times New Roman"/>
          <w:b/>
          <w:bCs/>
          <w:color w:val="000000" w:themeColor="text1"/>
          <w:sz w:val="28"/>
          <w:szCs w:val="28"/>
        </w:rPr>
        <w:t xml:space="preserve">4. Показатели комфортности </w:t>
      </w:r>
      <w:bookmarkEnd w:id="16"/>
      <w:bookmarkEnd w:id="17"/>
      <w:r>
        <w:rPr>
          <w:rFonts w:eastAsia="Times New Roman" w:cs="Times New Roman" w:ascii="Times New Roman" w:hAnsi="Times New Roman"/>
          <w:b/>
          <w:bCs/>
          <w:color w:val="000000" w:themeColor="text1"/>
          <w:sz w:val="28"/>
          <w:szCs w:val="28"/>
        </w:rPr>
        <w:t>условий предоставления услуг</w:t>
      </w:r>
      <w:bookmarkEnd w:id="14"/>
      <w:bookmarkEnd w:id="15"/>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Результаты мониторинга обеспечения 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комфортных условий предоставления услуг представлены в таблице 4.1.</w:t>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4.1 – Результаты мониторинга обеспечения в</w:t>
        <w:b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комфортных условий предоставления услуг (по состоянию на ноябрь 2020 года)</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709"/>
        <w:gridCol w:w="6095"/>
        <w:gridCol w:w="2552"/>
      </w:tblGrid>
      <w:tr>
        <w:trPr>
          <w:tblHeader w:val="true"/>
        </w:trPr>
        <w:tc>
          <w:tcPr>
            <w:tcW w:w="709"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6095"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 xml:space="preserve">Параметры </w:t>
            </w:r>
            <w:r>
              <w:rPr>
                <w:rFonts w:cs="Times New Roman" w:ascii="Times New Roman" w:hAnsi="Times New Roman"/>
                <w:b/>
                <w:color w:val="000000" w:themeColor="text1"/>
                <w:sz w:val="24"/>
                <w:szCs w:val="24"/>
                <w:lang w:val="en-US"/>
              </w:rPr>
              <w:t>/</w:t>
            </w:r>
            <w:r>
              <w:rPr>
                <w:rFonts w:cs="Times New Roman" w:ascii="Times New Roman" w:hAnsi="Times New Roman"/>
                <w:b/>
                <w:color w:val="000000" w:themeColor="text1"/>
                <w:sz w:val="24"/>
                <w:szCs w:val="24"/>
              </w:rPr>
              <w:t xml:space="preserve"> показатели</w:t>
            </w:r>
          </w:p>
        </w:tc>
        <w:tc>
          <w:tcPr>
            <w:tcW w:w="2552"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1 – Наличие,</w:t>
              <w:br/>
              <w:t>0 – Отсутствие</w:t>
            </w:r>
          </w:p>
        </w:tc>
      </w:tr>
      <w:tr>
        <w:trPr/>
        <w:tc>
          <w:tcPr>
            <w:tcW w:w="709"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w:t>
            </w:r>
          </w:p>
        </w:tc>
        <w:tc>
          <w:tcPr>
            <w:tcW w:w="8647"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Комфортность условий предоставления услуг</w:t>
            </w:r>
          </w:p>
        </w:tc>
      </w:tr>
      <w:tr>
        <w:trPr/>
        <w:tc>
          <w:tcPr>
            <w:tcW w:w="709"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2.1</w:t>
            </w:r>
          </w:p>
        </w:tc>
        <w:tc>
          <w:tcPr>
            <w:tcW w:w="8647" w:type="dxa"/>
            <w:gridSpan w:val="2"/>
            <w:tcBorders/>
            <w:shd w:color="auto" w:fill="F2F2F2" w:themeFill="background1" w:themeFillShade="f2" w:val="clear"/>
            <w:vAlign w:val="bottom"/>
          </w:tcPr>
          <w:p>
            <w:pPr>
              <w:pStyle w:val="Normal"/>
              <w:spacing w:lineRule="auto" w:line="240" w:before="0" w:after="0"/>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Обеспечение в организации комфортных условий для предоставления услуг:</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2.1.1</w:t>
            </w:r>
          </w:p>
        </w:tc>
        <w:tc>
          <w:tcPr>
            <w:tcW w:w="609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наличие комфортной зоны отдыха (ожидания);</w:t>
            </w:r>
          </w:p>
        </w:tc>
        <w:tc>
          <w:tcPr>
            <w:tcW w:w="255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2.1.2</w:t>
            </w:r>
          </w:p>
        </w:tc>
        <w:tc>
          <w:tcPr>
            <w:tcW w:w="609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наличие и понятность навигации внутри организации;</w:t>
            </w:r>
          </w:p>
        </w:tc>
        <w:tc>
          <w:tcPr>
            <w:tcW w:w="255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2.1.3</w:t>
            </w:r>
          </w:p>
        </w:tc>
        <w:tc>
          <w:tcPr>
            <w:tcW w:w="609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доступность питьевой воды;</w:t>
            </w:r>
          </w:p>
        </w:tc>
        <w:tc>
          <w:tcPr>
            <w:tcW w:w="255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2.1.4</w:t>
            </w:r>
          </w:p>
        </w:tc>
        <w:tc>
          <w:tcPr>
            <w:tcW w:w="609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наличие и доступность санитарно-гигиенических помещений (чистота помещений, наличие мыла, воды, туалетной бумаги и пр.);</w:t>
            </w:r>
          </w:p>
        </w:tc>
        <w:tc>
          <w:tcPr>
            <w:tcW w:w="255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2.1.5</w:t>
            </w:r>
          </w:p>
        </w:tc>
        <w:tc>
          <w:tcPr>
            <w:tcW w:w="609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санитарное состояние помещений организаций;</w:t>
            </w:r>
          </w:p>
        </w:tc>
        <w:tc>
          <w:tcPr>
            <w:tcW w:w="255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2.1.6</w:t>
            </w:r>
          </w:p>
        </w:tc>
        <w:tc>
          <w:tcPr>
            <w:tcW w:w="6095"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возможность бронирования услуги / доступность записи на получение услуги (по телефону, с использованием сети «Интернет» на официальном сайте организации, при личном посещении и пр.).</w:t>
            </w:r>
          </w:p>
        </w:tc>
        <w:tc>
          <w:tcPr>
            <w:tcW w:w="255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p>
        </w:tc>
        <w:tc>
          <w:tcPr>
            <w:tcW w:w="6095" w:type="dxa"/>
            <w:tcBorders/>
            <w:shd w:fill="auto" w:val="clear"/>
          </w:tcPr>
          <w:p>
            <w:pPr>
              <w:pStyle w:val="Normal"/>
              <w:spacing w:lineRule="auto" w:line="240" w:before="0" w:after="0"/>
              <w:jc w:val="both"/>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Итого обеспечено наличие условий комфортности, ед.</w:t>
            </w:r>
          </w:p>
        </w:tc>
        <w:tc>
          <w:tcPr>
            <w:tcW w:w="2552" w:type="dxa"/>
            <w:tcBorders/>
            <w:shd w:fill="auto"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6</w:t>
            </w:r>
          </w:p>
        </w:tc>
      </w:tr>
      <w:tr>
        <w:trPr/>
        <w:tc>
          <w:tcPr>
            <w:tcW w:w="709" w:type="dxa"/>
            <w:tcBorders/>
            <w:shd w:color="auto" w:fill="D9D9D9" w:themeFill="background1" w:themeFillShade="d9"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p>
        </w:tc>
        <w:tc>
          <w:tcPr>
            <w:tcW w:w="6095" w:type="dxa"/>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b/>
                <w:color w:val="000000" w:themeColor="text1"/>
                <w:sz w:val="24"/>
                <w:szCs w:val="24"/>
              </w:rPr>
              <w:t>Итого по п. 2.1, баллов (максимум – 100 баллов)</w:t>
            </w:r>
          </w:p>
        </w:tc>
        <w:tc>
          <w:tcPr>
            <w:tcW w:w="2552"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100</w:t>
            </w:r>
          </w:p>
        </w:tc>
      </w:tr>
    </w:tbl>
    <w:p>
      <w:pPr>
        <w:pStyle w:val="Normal"/>
        <w:spacing w:lineRule="auto" w:line="360" w:before="0" w:after="0"/>
        <w:ind w:firstLine="709"/>
        <w:jc w:val="both"/>
        <w:rPr>
          <w:rFonts w:ascii="Times New Roman" w:hAnsi="Times New Roman" w:eastAsia="Calibri" w:cs="Times New Roman" w:eastAsiaTheme="minorHAnsi"/>
          <w:color w:val="000000" w:themeColor="text1"/>
          <w:sz w:val="28"/>
          <w:szCs w:val="28"/>
          <w:lang w:eastAsia="en-US"/>
        </w:rPr>
      </w:pPr>
      <w:r>
        <w:rPr>
          <w:rFonts w:eastAsia="Calibri" w:cs="Times New Roman" w:eastAsiaTheme="minorHAnsi"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Значения параметров по п. 2.1 таблицы 4.1 демонстрируют отсутствие дефицитов / недостатков по показателям, характеризующим комфортность условий предоставления услуг.</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Кроме того, в рамках этого раздела на основе изучения мнения получателей услуг осуществлена оценка доли получателей услуг, удовлетворенных комфортностью условий предоставления услуг 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p>
    <w:p>
      <w:pPr>
        <w:pStyle w:val="Normal"/>
        <w:spacing w:lineRule="auto" w:line="240" w:before="0" w:after="0"/>
        <w:ind w:firstLine="709"/>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r>
        <w:br w:type="page"/>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Анализ результатов восприятия получателями услуг </w:t>
      </w:r>
      <w:r>
        <w:rPr>
          <w:rFonts w:cs="Times New Roman" w:ascii="Times New Roman" w:hAnsi="Times New Roman"/>
          <w:i/>
          <w:color w:val="000000" w:themeColor="text1"/>
          <w:sz w:val="28"/>
          <w:szCs w:val="28"/>
        </w:rPr>
        <w:t xml:space="preserve">комфортности условий предоставления услуг </w:t>
      </w:r>
      <w:r>
        <w:rPr>
          <w:rFonts w:cs="Times New Roman" w:ascii="Times New Roman" w:hAnsi="Times New Roman"/>
          <w:color w:val="000000" w:themeColor="text1"/>
          <w:sz w:val="28"/>
          <w:szCs w:val="28"/>
        </w:rPr>
        <w:t>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показывает, что респонденты высоко оценивают изучаемые параметры (доля удовлетворенных получателей услуг, средние значения оценки параметров) (таблицы 4.2-4.3):</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наличием комфортной зоны отдыха (ожидания) (оценка удовлетворенности – 98,7%; средняя оценка параметра – 99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наличием и понятностью навигации внутри организации (оценка удовлетворенности – 98,4%; средняя оценка параметра – 98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доступностью питьевой воды (оценка удовлетворенности – 98,6%; средняя оценка параметра – 99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наличием и доступностью санитарно-гигиенических помещений (оценка удовлетворенности – 98,7%; средняя оценка параметра – 99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санитарным состоянием помещений организации (оценка удовлетворенности – 99,2%; средняя оценка параметра – 99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возможностью бронирования услуги/доступностью записи на получение услуги (по телефону, с использованием сети «Интернет» на официальном сайте организации, при личном посещении и пр.) (оценка удовлетворенности – 98,4%; средняя оценка параметра – 98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r>
        <w:br w:type="page"/>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4.2 – Доля получателей услуг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удовлетворенных комфортностью условий предоставления услуг, %</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709"/>
        <w:gridCol w:w="6236"/>
        <w:gridCol w:w="2411"/>
      </w:tblGrid>
      <w:tr>
        <w:trPr/>
        <w:tc>
          <w:tcPr>
            <w:tcW w:w="709" w:type="dxa"/>
            <w:tcBorders/>
            <w:shd w:fill="auto"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b/>
                <w:color w:val="000000" w:themeColor="text1"/>
                <w:sz w:val="24"/>
                <w:szCs w:val="24"/>
              </w:rPr>
              <w:t>№</w:t>
            </w:r>
          </w:p>
        </w:tc>
        <w:tc>
          <w:tcPr>
            <w:tcW w:w="6236" w:type="dxa"/>
            <w:tcBorders/>
            <w:shd w:fill="auto"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2411" w:type="dxa"/>
            <w:tcBorders/>
            <w:shd w:fill="auto"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b/>
                <w:color w:val="000000" w:themeColor="text1"/>
                <w:sz w:val="24"/>
                <w:szCs w:val="24"/>
              </w:rPr>
              <w:t>ССДК</w:t>
            </w:r>
          </w:p>
        </w:tc>
      </w:tr>
      <w:tr>
        <w:trPr/>
        <w:tc>
          <w:tcPr>
            <w:tcW w:w="709" w:type="dxa"/>
            <w:tcBorders/>
            <w:shd w:color="auto" w:fill="D9D9D9" w:themeFill="background1" w:themeFillShade="d9"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w:t>
            </w:r>
          </w:p>
        </w:tc>
        <w:tc>
          <w:tcPr>
            <w:tcW w:w="8647" w:type="dxa"/>
            <w:gridSpan w:val="2"/>
            <w:tcBorders/>
            <w:shd w:color="auto" w:fill="D9D9D9" w:themeFill="background1" w:themeFillShade="d9"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Комфортность условий предоставления услуг</w:t>
            </w:r>
          </w:p>
        </w:tc>
      </w:tr>
      <w:tr>
        <w:trPr/>
        <w:tc>
          <w:tcPr>
            <w:tcW w:w="709"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w:t>
            </w:r>
          </w:p>
        </w:tc>
        <w:tc>
          <w:tcPr>
            <w:tcW w:w="8647" w:type="dxa"/>
            <w:gridSpan w:val="2"/>
            <w:tcBorders/>
            <w:shd w:color="auto" w:fill="F2F2F2" w:themeFill="background1" w:themeFillShade="f2"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комфортностью условий предоставления услуг:</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2.3.1</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наличием комфортной зоны отдыха (ожидания);</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98,7</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2.3.2</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наличием и понятностью навигации внутри организации;</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98,4</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2.3.3</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доступностью питьевой воды;</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98,6</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2.3.4</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наличием и доступностью санитарно-гигиенических помещений (чистота помещений, наличие мыла, воды, туалетной бумаги и пр.);</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98,7</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2.3.5</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санитарное состояние помещений организаций;</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99,2</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2.3.6</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возможностью бронирования услуги / доступностью записи на получение услуги (по телефону, с использованием сети «Интернет» на официальном сайте организации, при личном посещении и пр.).</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98,4</w:t>
            </w:r>
          </w:p>
        </w:tc>
      </w:tr>
    </w:tbl>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4.3 – Средние значения оценки параметров, характеризующих удовлетворенность комфортностью условий предоставления услуг</w:t>
        <w:b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баллы</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709"/>
        <w:gridCol w:w="6236"/>
        <w:gridCol w:w="2411"/>
      </w:tblGrid>
      <w:tr>
        <w:trPr/>
        <w:tc>
          <w:tcPr>
            <w:tcW w:w="709"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6236"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241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ССДК</w:t>
            </w:r>
          </w:p>
        </w:tc>
      </w:tr>
      <w:tr>
        <w:trPr/>
        <w:tc>
          <w:tcPr>
            <w:tcW w:w="709"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w:t>
            </w:r>
          </w:p>
        </w:tc>
        <w:tc>
          <w:tcPr>
            <w:tcW w:w="8647"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Комфортность условий предоставления услуг</w:t>
            </w:r>
          </w:p>
        </w:tc>
      </w:tr>
      <w:tr>
        <w:trPr/>
        <w:tc>
          <w:tcPr>
            <w:tcW w:w="709"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w:t>
            </w:r>
          </w:p>
        </w:tc>
        <w:tc>
          <w:tcPr>
            <w:tcW w:w="8647" w:type="dxa"/>
            <w:gridSpan w:val="2"/>
            <w:tcBorders/>
            <w:shd w:color="auto" w:fill="F2F2F2" w:themeFill="background1" w:themeFillShade="f2"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комфортностью условий предоставления услуг:</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2.3.1</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наличием комфортной зоны отдыха (ожидания);</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99</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2.3.2</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наличием и понятностью навигации внутри организации;</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98</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2.3.3</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доступностью питьевой воды;</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99</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2.3.4</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наличием и доступностью санитарно-гигиенических помещений (чистота помещений, наличие мыла, воды, туалетной бумаги и пр.);</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99</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2.3.5</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санитарное состояние помещений организаций;</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99</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2.3.6</w:t>
            </w:r>
          </w:p>
        </w:tc>
        <w:tc>
          <w:tcPr>
            <w:tcW w:w="6236"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возможностью бронирования услуги / доступностью записи на получение услуги (по телефону, с использованием сети «Интернет» на официальном сайте организации, при личном посещении и пр.).</w:t>
            </w:r>
          </w:p>
        </w:tc>
        <w:tc>
          <w:tcPr>
            <w:tcW w:w="2411"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98</w:t>
            </w:r>
          </w:p>
        </w:tc>
      </w:tr>
      <w:tr>
        <w:trPr/>
        <w:tc>
          <w:tcPr>
            <w:tcW w:w="709"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6236" w:type="dxa"/>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В среднем по пп. 2.3.1-2.3.6 (максимум – 100 баллов)</w:t>
            </w:r>
          </w:p>
        </w:tc>
        <w:tc>
          <w:tcPr>
            <w:tcW w:w="2411"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bCs/>
                <w:color w:val="000000" w:themeColor="text1"/>
                <w:sz w:val="24"/>
                <w:szCs w:val="24"/>
              </w:rPr>
            </w:pPr>
            <w:r>
              <w:rPr>
                <w:rFonts w:cs="Times New Roman" w:ascii="Times New Roman" w:hAnsi="Times New Roman"/>
                <w:b/>
                <w:bCs/>
                <w:color w:val="000000" w:themeColor="text1"/>
                <w:sz w:val="24"/>
                <w:szCs w:val="24"/>
              </w:rPr>
              <w:t>99</w:t>
            </w:r>
          </w:p>
        </w:tc>
      </w:tr>
    </w:tbl>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i/>
          <w:color w:val="000000" w:themeColor="text1"/>
          <w:sz w:val="28"/>
          <w:szCs w:val="28"/>
          <w:lang w:eastAsia="en-US"/>
        </w:rPr>
        <w:t>Интегральные показатели</w:t>
      </w:r>
      <w:r>
        <w:rPr>
          <w:rFonts w:eastAsia="Calibri" w:cs="Times New Roman" w:ascii="Times New Roman" w:hAnsi="Times New Roman"/>
          <w:color w:val="000000" w:themeColor="text1"/>
          <w:sz w:val="28"/>
          <w:szCs w:val="28"/>
          <w:lang w:eastAsia="en-US"/>
        </w:rPr>
        <w:t>, характеризующие комфортность условий предоставления услуг в МБУК «</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 представлены в таблице 4.4 и на рисунке 4.1.</w:t>
      </w:r>
    </w:p>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r>
        <w:br w:type="page"/>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4.4 – Интегральные показатели, характеризующие комфортность условий предоставления услуг 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582"/>
        <w:gridCol w:w="3937"/>
        <w:gridCol w:w="1016"/>
        <w:gridCol w:w="2161"/>
        <w:gridCol w:w="1660"/>
      </w:tblGrid>
      <w:tr>
        <w:trPr/>
        <w:tc>
          <w:tcPr>
            <w:tcW w:w="582"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3937"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1016"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Баллы</w:t>
            </w:r>
          </w:p>
        </w:tc>
        <w:tc>
          <w:tcPr>
            <w:tcW w:w="216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Коэффициент значимости показателя</w:t>
            </w:r>
          </w:p>
        </w:tc>
        <w:tc>
          <w:tcPr>
            <w:tcW w:w="1660"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Значение показателя, баллы</w:t>
            </w:r>
          </w:p>
        </w:tc>
      </w:tr>
      <w:tr>
        <w:trPr/>
        <w:tc>
          <w:tcPr>
            <w:tcW w:w="582" w:type="dxa"/>
            <w:tcBorders/>
            <w:shd w:color="auto" w:fill="D9D9D9" w:themeFill="background1" w:themeFillShade="d9"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w:t>
            </w:r>
          </w:p>
        </w:tc>
        <w:tc>
          <w:tcPr>
            <w:tcW w:w="8774" w:type="dxa"/>
            <w:gridSpan w:val="4"/>
            <w:tcBorders/>
            <w:shd w:color="auto" w:fill="D9D9D9" w:themeFill="background1" w:themeFillShade="d9"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Комфортность условий предоставления услуг</w:t>
            </w:r>
          </w:p>
        </w:tc>
      </w:tr>
      <w:tr>
        <w:trPr/>
        <w:tc>
          <w:tcPr>
            <w:tcW w:w="582"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2.1</w:t>
            </w:r>
          </w:p>
        </w:tc>
        <w:tc>
          <w:tcPr>
            <w:tcW w:w="3937"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Обеспечение в организации комфортных условий для предоставления услуг</w:t>
            </w:r>
          </w:p>
        </w:tc>
        <w:tc>
          <w:tcPr>
            <w:tcW w:w="1016"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100</w:t>
            </w:r>
          </w:p>
        </w:tc>
        <w:tc>
          <w:tcPr>
            <w:tcW w:w="2161"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lang w:val="en-US"/>
              </w:rPr>
            </w:pPr>
            <w:r>
              <w:rPr>
                <w:rFonts w:cs="Times New Roman" w:ascii="Times New Roman" w:hAnsi="Times New Roman"/>
                <w:color w:val="000000" w:themeColor="text1"/>
                <w:sz w:val="24"/>
                <w:szCs w:val="24"/>
              </w:rPr>
              <w:t>0,</w:t>
            </w:r>
            <w:r>
              <w:rPr>
                <w:rFonts w:cs="Times New Roman" w:ascii="Times New Roman" w:hAnsi="Times New Roman"/>
                <w:color w:val="000000" w:themeColor="text1"/>
                <w:sz w:val="24"/>
                <w:szCs w:val="24"/>
                <w:lang w:val="en-US"/>
              </w:rPr>
              <w:t>5</w:t>
            </w:r>
          </w:p>
        </w:tc>
        <w:tc>
          <w:tcPr>
            <w:tcW w:w="1660"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lang w:val="en-US"/>
              </w:rPr>
              <w:t>5</w:t>
            </w:r>
            <w:r>
              <w:rPr>
                <w:rFonts w:cs="Times New Roman" w:ascii="Times New Roman" w:hAnsi="Times New Roman"/>
                <w:color w:val="000000" w:themeColor="text1"/>
                <w:sz w:val="24"/>
                <w:szCs w:val="24"/>
              </w:rPr>
              <w:t>0,0</w:t>
            </w:r>
          </w:p>
        </w:tc>
      </w:tr>
      <w:tr>
        <w:trPr/>
        <w:tc>
          <w:tcPr>
            <w:tcW w:w="582"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w:t>
            </w:r>
          </w:p>
        </w:tc>
        <w:tc>
          <w:tcPr>
            <w:tcW w:w="3937"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комфортностью условий предоставления услуг</w:t>
            </w:r>
          </w:p>
        </w:tc>
        <w:tc>
          <w:tcPr>
            <w:tcW w:w="1016"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99</w:t>
            </w:r>
          </w:p>
        </w:tc>
        <w:tc>
          <w:tcPr>
            <w:tcW w:w="2161"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lang w:val="en-US"/>
              </w:rPr>
            </w:pPr>
            <w:r>
              <w:rPr>
                <w:rFonts w:cs="Times New Roman" w:ascii="Times New Roman" w:hAnsi="Times New Roman"/>
                <w:color w:val="000000" w:themeColor="text1"/>
                <w:sz w:val="24"/>
                <w:szCs w:val="24"/>
              </w:rPr>
              <w:t>0,</w:t>
            </w:r>
            <w:r>
              <w:rPr>
                <w:rFonts w:cs="Times New Roman" w:ascii="Times New Roman" w:hAnsi="Times New Roman"/>
                <w:color w:val="000000" w:themeColor="text1"/>
                <w:sz w:val="24"/>
                <w:szCs w:val="24"/>
                <w:lang w:val="en-US"/>
              </w:rPr>
              <w:t>5</w:t>
            </w:r>
          </w:p>
        </w:tc>
        <w:tc>
          <w:tcPr>
            <w:tcW w:w="1660"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49,5</w:t>
            </w:r>
          </w:p>
        </w:tc>
      </w:tr>
      <w:tr>
        <w:trPr/>
        <w:tc>
          <w:tcPr>
            <w:tcW w:w="582"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7114" w:type="dxa"/>
            <w:gridSpan w:val="3"/>
            <w:tcBorders/>
            <w:shd w:color="auto" w:fill="D9D9D9" w:themeFill="background1" w:themeFillShade="d9" w:val="clear"/>
            <w:vAlign w:val="bottom"/>
          </w:tcPr>
          <w:p>
            <w:pPr>
              <w:pStyle w:val="Normal"/>
              <w:spacing w:lineRule="auto" w:line="240" w:before="0" w:after="0"/>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Всего по показателю 2, баллов</w:t>
            </w:r>
          </w:p>
        </w:tc>
        <w:tc>
          <w:tcPr>
            <w:tcW w:w="1660"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100</w:t>
            </w:r>
          </w:p>
        </w:tc>
      </w:tr>
    </w:tbl>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240" w:before="0" w:after="0"/>
        <w:jc w:val="center"/>
        <w:rPr>
          <w:rFonts w:ascii="Times New Roman" w:hAnsi="Times New Roman" w:eastAsia="Calibri" w:cs="Times New Roman" w:eastAsiaTheme="minorHAnsi"/>
          <w:color w:val="000000" w:themeColor="text1"/>
          <w:sz w:val="28"/>
          <w:szCs w:val="28"/>
          <w:lang w:eastAsia="en-US"/>
        </w:rPr>
      </w:pPr>
      <w:r>
        <w:rPr/>
        <w:drawing>
          <wp:inline distT="0" distB="0" distL="0" distR="5715">
            <wp:extent cx="5937885" cy="3602990"/>
            <wp:effectExtent l="0" t="0" r="0" b="0"/>
            <wp:docPr id="4"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descr=""/>
                    <pic:cNvPicPr>
                      <a:picLocks noChangeAspect="1" noChangeArrowheads="1"/>
                    </pic:cNvPicPr>
                  </pic:nvPicPr>
                  <pic:blipFill>
                    <a:blip r:embed="rId6"/>
                    <a:stretch>
                      <a:fillRect/>
                    </a:stretch>
                  </pic:blipFill>
                  <pic:spPr bwMode="auto">
                    <a:xfrm>
                      <a:off x="0" y="0"/>
                      <a:ext cx="5937885" cy="3602990"/>
                    </a:xfrm>
                    <a:prstGeom prst="rect">
                      <a:avLst/>
                    </a:prstGeom>
                  </pic:spPr>
                </pic:pic>
              </a:graphicData>
            </a:graphic>
          </wp:inline>
        </w:drawing>
      </w:r>
    </w:p>
    <w:p>
      <w:pPr>
        <w:pStyle w:val="Normal"/>
        <w:spacing w:before="0" w:after="0"/>
        <w:jc w:val="center"/>
        <w:rPr>
          <w:rFonts w:ascii="Times New Roman" w:hAnsi="Times New Roman" w:eastAsia="Calibri" w:eastAsiaTheme="minorHAnsi"/>
          <w:color w:val="000000" w:themeColor="text1"/>
          <w:sz w:val="28"/>
          <w:szCs w:val="28"/>
        </w:rPr>
      </w:pPr>
      <w:r>
        <w:rPr>
          <w:rFonts w:eastAsia="Calibri" w:ascii="Times New Roman" w:hAnsi="Times New Roman" w:eastAsiaTheme="minorHAnsi"/>
          <w:color w:val="000000" w:themeColor="text1"/>
          <w:sz w:val="28"/>
          <w:szCs w:val="28"/>
        </w:rPr>
        <w:t xml:space="preserve">Рисунок 4.1 – Интегральные показатели, характеризующие комфортность условий предоставления услуг в </w:t>
      </w:r>
      <w:r>
        <w:rPr>
          <w:rFonts w:eastAsia="Calibri" w:cs="Times New Roman" w:ascii="Times New Roman" w:hAnsi="Times New Roman"/>
          <w:color w:val="000000" w:themeColor="text1"/>
          <w:sz w:val="28"/>
          <w:szCs w:val="28"/>
          <w:lang w:eastAsia="en-US"/>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r>
        <w:rPr>
          <w:rFonts w:eastAsia="Calibri" w:ascii="Times New Roman" w:hAnsi="Times New Roman" w:eastAsiaTheme="minorHAnsi"/>
          <w:color w:val="000000" w:themeColor="text1"/>
          <w:sz w:val="28"/>
          <w:szCs w:val="28"/>
        </w:rPr>
        <w:t>, баллы</w:t>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Анализ интегральных показателей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показывает, что в отношении комфортности условий предоставления услуг зафиксированные оценки параметров находятся на высоком уровне:</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по показателю 2.1 – 50 баллов из 50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по показателю 2.3 – 49,5 балла из 50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Таким образом,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показало отличный результат по показателям данного раздела (100 баллов из 100 возможных).</w:t>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keepNext w:val="true"/>
        <w:keepLines/>
        <w:numPr>
          <w:ilvl w:val="0"/>
          <w:numId w:val="0"/>
        </w:numPr>
        <w:spacing w:before="0" w:after="0"/>
        <w:ind w:hanging="0"/>
        <w:jc w:val="center"/>
        <w:outlineLvl w:val="0"/>
        <w:rPr>
          <w:rFonts w:ascii="Times New Roman" w:hAnsi="Times New Roman" w:eastAsia="Times New Roman" w:cs="Times New Roman"/>
          <w:b/>
          <w:b/>
          <w:bCs/>
          <w:color w:val="000000" w:themeColor="text1"/>
          <w:sz w:val="28"/>
          <w:szCs w:val="28"/>
        </w:rPr>
      </w:pPr>
      <w:bookmarkStart w:id="18" w:name="_Toc58223944"/>
      <w:bookmarkStart w:id="19" w:name="_Toc57800862"/>
      <w:r>
        <w:rPr>
          <w:rFonts w:eastAsia="Times New Roman" w:cs="Times New Roman" w:ascii="Times New Roman" w:hAnsi="Times New Roman"/>
          <w:b/>
          <w:bCs/>
          <w:color w:val="000000" w:themeColor="text1"/>
          <w:sz w:val="28"/>
          <w:szCs w:val="28"/>
        </w:rPr>
        <w:t>5. Показатели доступности услуг для инвалидов</w:t>
      </w:r>
      <w:bookmarkEnd w:id="18"/>
      <w:bookmarkEnd w:id="19"/>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Результаты мониторинга обеспечения 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доступности услуг для инвалидов представлены в таблице 5.1.</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5.1 – Результаты мониторинга обеспечения в</w:t>
        <w:b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доступности услуг для инвалидов (по состоянию на ноябрь 2020 года)</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709"/>
        <w:gridCol w:w="6662"/>
        <w:gridCol w:w="1985"/>
      </w:tblGrid>
      <w:tr>
        <w:trPr>
          <w:tblHeader w:val="true"/>
        </w:trPr>
        <w:tc>
          <w:tcPr>
            <w:tcW w:w="709"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6662"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 xml:space="preserve">Параметры </w:t>
            </w:r>
            <w:r>
              <w:rPr>
                <w:rFonts w:cs="Times New Roman" w:ascii="Times New Roman" w:hAnsi="Times New Roman"/>
                <w:b/>
                <w:color w:val="000000" w:themeColor="text1"/>
                <w:sz w:val="24"/>
                <w:szCs w:val="24"/>
                <w:lang w:val="en-US"/>
              </w:rPr>
              <w:t>/</w:t>
            </w:r>
            <w:r>
              <w:rPr>
                <w:rFonts w:cs="Times New Roman" w:ascii="Times New Roman" w:hAnsi="Times New Roman"/>
                <w:b/>
                <w:color w:val="000000" w:themeColor="text1"/>
                <w:sz w:val="24"/>
                <w:szCs w:val="24"/>
              </w:rPr>
              <w:t xml:space="preserve"> показатели</w:t>
            </w:r>
          </w:p>
        </w:tc>
        <w:tc>
          <w:tcPr>
            <w:tcW w:w="1985"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1 – Наличие,</w:t>
              <w:br/>
              <w:t>0 – Отсутствие</w:t>
            </w:r>
          </w:p>
        </w:tc>
      </w:tr>
      <w:tr>
        <w:trPr/>
        <w:tc>
          <w:tcPr>
            <w:tcW w:w="709"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w:t>
            </w:r>
          </w:p>
        </w:tc>
        <w:tc>
          <w:tcPr>
            <w:tcW w:w="8647"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Доступность услуг для инвалидов</w:t>
            </w:r>
          </w:p>
        </w:tc>
      </w:tr>
      <w:tr>
        <w:trPr/>
        <w:tc>
          <w:tcPr>
            <w:tcW w:w="709"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3.1</w:t>
            </w:r>
          </w:p>
        </w:tc>
        <w:tc>
          <w:tcPr>
            <w:tcW w:w="8647" w:type="dxa"/>
            <w:gridSpan w:val="2"/>
            <w:tcBorders/>
            <w:shd w:color="auto" w:fill="F2F2F2" w:themeFill="background1" w:themeFillShade="f2"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Оборудование территории, прилегающей к организации, и ее помещений с учетом доступности для инвалидов:</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3.1.1</w:t>
            </w:r>
          </w:p>
        </w:tc>
        <w:tc>
          <w:tcPr>
            <w:tcW w:w="6662"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оборудование входных групп пандусами / подъемными платформами;</w:t>
            </w:r>
          </w:p>
        </w:tc>
        <w:tc>
          <w:tcPr>
            <w:tcW w:w="1985"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3.1.2</w:t>
            </w:r>
          </w:p>
        </w:tc>
        <w:tc>
          <w:tcPr>
            <w:tcW w:w="6662"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наличие выделенных стоянок для автотранспортных средств инвалидов;</w:t>
            </w:r>
          </w:p>
        </w:tc>
        <w:tc>
          <w:tcPr>
            <w:tcW w:w="1985"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3.1.3</w:t>
            </w:r>
          </w:p>
        </w:tc>
        <w:tc>
          <w:tcPr>
            <w:tcW w:w="6662"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наличие адаптированных лифтов, поручней, расширенных дверных проемов;</w:t>
            </w:r>
          </w:p>
        </w:tc>
        <w:tc>
          <w:tcPr>
            <w:tcW w:w="1985"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3.1.4</w:t>
            </w:r>
          </w:p>
        </w:tc>
        <w:tc>
          <w:tcPr>
            <w:tcW w:w="6662"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наличие сменных кресел-колясок;</w:t>
            </w:r>
          </w:p>
        </w:tc>
        <w:tc>
          <w:tcPr>
            <w:tcW w:w="1985"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3.1.5</w:t>
            </w:r>
          </w:p>
        </w:tc>
        <w:tc>
          <w:tcPr>
            <w:tcW w:w="6662" w:type="dxa"/>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наличие специально оборудованных санитарно-гигиенических помещений в организации.</w:t>
            </w:r>
          </w:p>
        </w:tc>
        <w:tc>
          <w:tcPr>
            <w:tcW w:w="1985"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p>
        </w:tc>
        <w:tc>
          <w:tcPr>
            <w:tcW w:w="6662" w:type="dxa"/>
            <w:tcBorders/>
            <w:shd w:fill="auto" w:val="clear"/>
          </w:tcPr>
          <w:p>
            <w:pPr>
              <w:pStyle w:val="Normal"/>
              <w:spacing w:lineRule="auto" w:line="240" w:before="0" w:after="0"/>
              <w:jc w:val="both"/>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Итого обеспечено наличие условий доступности услуг для инвалидов, ед.</w:t>
            </w:r>
          </w:p>
        </w:tc>
        <w:tc>
          <w:tcPr>
            <w:tcW w:w="1985" w:type="dxa"/>
            <w:tcBorders/>
            <w:shd w:fill="auto"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2</w:t>
            </w:r>
          </w:p>
        </w:tc>
      </w:tr>
      <w:tr>
        <w:trPr/>
        <w:tc>
          <w:tcPr>
            <w:tcW w:w="709" w:type="dxa"/>
            <w:tcBorders/>
            <w:shd w:color="auto" w:fill="D9D9D9" w:themeFill="background1" w:themeFillShade="d9"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p>
        </w:tc>
        <w:tc>
          <w:tcPr>
            <w:tcW w:w="6662" w:type="dxa"/>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b/>
                <w:color w:val="000000" w:themeColor="text1"/>
                <w:sz w:val="24"/>
                <w:szCs w:val="24"/>
              </w:rPr>
              <w:t>Итого по п. 3.1, баллов (максимум – 100 баллов)</w:t>
            </w:r>
          </w:p>
        </w:tc>
        <w:tc>
          <w:tcPr>
            <w:tcW w:w="1985"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40</w:t>
            </w:r>
          </w:p>
        </w:tc>
      </w:tr>
      <w:tr>
        <w:trPr/>
        <w:tc>
          <w:tcPr>
            <w:tcW w:w="709"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3.2</w:t>
            </w:r>
          </w:p>
        </w:tc>
        <w:tc>
          <w:tcPr>
            <w:tcW w:w="8647" w:type="dxa"/>
            <w:gridSpan w:val="2"/>
            <w:tcBorders/>
            <w:shd w:color="auto" w:fill="F2F2F2" w:themeFill="background1" w:themeFillShade="f2"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Обеспечение в организации условий доступности, позволяющих инвалидам получать услуги наравне с другими, включая:</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3.2.1</w:t>
            </w:r>
          </w:p>
        </w:tc>
        <w:tc>
          <w:tcPr>
            <w:tcW w:w="6662" w:type="dxa"/>
            <w:tcBorders/>
            <w:shd w:fill="auto" w:val="clear"/>
            <w:vAlign w:val="cente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дублирование для инвалидов по слуху и зрению звуковой и зрительной информации;</w:t>
            </w:r>
          </w:p>
        </w:tc>
        <w:tc>
          <w:tcPr>
            <w:tcW w:w="1985"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0</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3.2.2</w:t>
            </w:r>
          </w:p>
        </w:tc>
        <w:tc>
          <w:tcPr>
            <w:tcW w:w="6662" w:type="dxa"/>
            <w:tcBorders/>
            <w:shd w:fill="auto" w:val="clear"/>
            <w:vAlign w:val="cente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дублирование надписей, знаков и иной текстовой и графической информации знаками, выполненными рельефно-точечным шрифтом Брайля;</w:t>
            </w:r>
          </w:p>
        </w:tc>
        <w:tc>
          <w:tcPr>
            <w:tcW w:w="1985"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0</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3.2.3</w:t>
            </w:r>
          </w:p>
        </w:tc>
        <w:tc>
          <w:tcPr>
            <w:tcW w:w="6662" w:type="dxa"/>
            <w:tcBorders/>
            <w:shd w:fill="auto" w:val="clear"/>
            <w:vAlign w:val="cente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возможность предоставления инвалидам по слуху (слуху и зрению) услуг сурдопереводчика (тифлосурдопереводчика);</w:t>
            </w:r>
          </w:p>
        </w:tc>
        <w:tc>
          <w:tcPr>
            <w:tcW w:w="1985"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0</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3.2.4</w:t>
            </w:r>
          </w:p>
        </w:tc>
        <w:tc>
          <w:tcPr>
            <w:tcW w:w="6662" w:type="dxa"/>
            <w:tcBorders/>
            <w:shd w:fill="auto" w:val="clear"/>
            <w:vAlign w:val="cente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наличие альтернативной версии официального сайта организации в сети «Интернет» для инвалидов по зрению;</w:t>
            </w:r>
          </w:p>
        </w:tc>
        <w:tc>
          <w:tcPr>
            <w:tcW w:w="1985"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1</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3.2.5</w:t>
            </w:r>
          </w:p>
        </w:tc>
        <w:tc>
          <w:tcPr>
            <w:tcW w:w="6662" w:type="dxa"/>
            <w:tcBorders/>
            <w:shd w:fill="auto" w:val="clear"/>
            <w:vAlign w:val="cente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985"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1</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3.2.6</w:t>
            </w:r>
          </w:p>
        </w:tc>
        <w:tc>
          <w:tcPr>
            <w:tcW w:w="6662" w:type="dxa"/>
            <w:tcBorders/>
            <w:shd w:fill="auto" w:val="clear"/>
            <w:vAlign w:val="cente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наличие возможности предоставления услуги в дистанционном режиме или на дому.</w:t>
            </w:r>
          </w:p>
        </w:tc>
        <w:tc>
          <w:tcPr>
            <w:tcW w:w="1985"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1</w:t>
            </w:r>
          </w:p>
        </w:tc>
      </w:tr>
      <w:tr>
        <w:trPr/>
        <w:tc>
          <w:tcPr>
            <w:tcW w:w="709"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p>
        </w:tc>
        <w:tc>
          <w:tcPr>
            <w:tcW w:w="6662" w:type="dxa"/>
            <w:tcBorders/>
            <w:shd w:fill="auto" w:val="clear"/>
          </w:tcPr>
          <w:p>
            <w:pPr>
              <w:pStyle w:val="Normal"/>
              <w:spacing w:lineRule="auto" w:line="240" w:before="0" w:after="0"/>
              <w:jc w:val="both"/>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Итого обеспечено наличие условий доступности услуг для инвалидов, ед.</w:t>
            </w:r>
          </w:p>
        </w:tc>
        <w:tc>
          <w:tcPr>
            <w:tcW w:w="1985" w:type="dxa"/>
            <w:tcBorders/>
            <w:shd w:fill="auto"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3</w:t>
            </w:r>
          </w:p>
        </w:tc>
      </w:tr>
      <w:tr>
        <w:trPr/>
        <w:tc>
          <w:tcPr>
            <w:tcW w:w="709" w:type="dxa"/>
            <w:tcBorders/>
            <w:shd w:color="auto" w:fill="D9D9D9" w:themeFill="background1" w:themeFillShade="d9"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p>
        </w:tc>
        <w:tc>
          <w:tcPr>
            <w:tcW w:w="6662" w:type="dxa"/>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b/>
                <w:color w:val="000000" w:themeColor="text1"/>
                <w:sz w:val="24"/>
                <w:szCs w:val="24"/>
              </w:rPr>
              <w:t>Итого по п. 3.2, баллов (максимум – 100 баллов)</w:t>
            </w:r>
          </w:p>
        </w:tc>
        <w:tc>
          <w:tcPr>
            <w:tcW w:w="1985"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60</w:t>
            </w:r>
          </w:p>
        </w:tc>
      </w:tr>
    </w:tbl>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В таблице 5.2 содержатся примечания, описывающие недостатки и / или дефициты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в обеспечении доступности услуг для инвалидов.</w:t>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eastAsia="Calibri" w:cs="Times New Roman" w:eastAsiaTheme="minorHAnsi"/>
          <w:color w:val="000000" w:themeColor="text1"/>
          <w:sz w:val="28"/>
          <w:szCs w:val="28"/>
          <w:lang w:eastAsia="en-US"/>
        </w:rPr>
      </w:pPr>
      <w:r>
        <w:rPr>
          <w:rFonts w:eastAsia="Calibri" w:cs="Times New Roman" w:ascii="Times New Roman" w:hAnsi="Times New Roman" w:eastAsiaTheme="minorHAnsi"/>
          <w:color w:val="000000" w:themeColor="text1"/>
          <w:sz w:val="28"/>
          <w:szCs w:val="28"/>
          <w:lang w:eastAsia="en-US"/>
        </w:rPr>
        <w:t xml:space="preserve">Таблица 5.2 – Дефициты </w:t>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br/>
      </w:r>
      <w:r>
        <w:rPr>
          <w:rFonts w:eastAsia="Calibri" w:cs="Times New Roman" w:ascii="Times New Roman" w:hAnsi="Times New Roman" w:eastAsiaTheme="minorHAnsi"/>
          <w:color w:val="000000" w:themeColor="text1"/>
          <w:sz w:val="28"/>
          <w:szCs w:val="28"/>
          <w:lang w:eastAsia="en-US"/>
        </w:rPr>
        <w:t>по показателям, характеризующим доступность услуг для инвалидов</w:t>
        <w:br/>
        <w:t>(по состоянию на ноябрь 2020 года)</w:t>
      </w:r>
    </w:p>
    <w:tbl>
      <w:tblPr>
        <w:tblStyle w:val="4"/>
        <w:tblW w:w="9356" w:type="dxa"/>
        <w:jc w:val="left"/>
        <w:tblInd w:w="108" w:type="dxa"/>
        <w:tblCellMar>
          <w:top w:w="0" w:type="dxa"/>
          <w:left w:w="108" w:type="dxa"/>
          <w:bottom w:w="0" w:type="dxa"/>
          <w:right w:w="108" w:type="dxa"/>
        </w:tblCellMar>
        <w:tblLook w:firstRow="1" w:noVBand="1" w:lastRow="0" w:firstColumn="1" w:lastColumn="0" w:noHBand="0" w:val="04a0"/>
      </w:tblPr>
      <w:tblGrid>
        <w:gridCol w:w="566"/>
        <w:gridCol w:w="1985"/>
        <w:gridCol w:w="6805"/>
      </w:tblGrid>
      <w:tr>
        <w:trPr>
          <w:tblHeader w:val="true"/>
          <w:trHeight w:val="20" w:hRule="atLeast"/>
        </w:trPr>
        <w:tc>
          <w:tcPr>
            <w:tcW w:w="566" w:type="dxa"/>
            <w:tcBorders/>
            <w:shd w:fill="auto" w:val="clear"/>
            <w:vAlign w:val="center"/>
          </w:tcPr>
          <w:p>
            <w:pPr>
              <w:pStyle w:val="Normal"/>
              <w:spacing w:lineRule="auto" w:line="240" w:before="0" w:after="0"/>
              <w:ind w:hanging="0"/>
              <w:jc w:val="center"/>
              <w:rPr>
                <w:rFonts w:ascii="Times New Roman" w:hAnsi="Times New Roman" w:eastAsia="Calibri" w:cs="Times New Roman" w:eastAsiaTheme="minorHAnsi"/>
                <w:b/>
                <w:b/>
                <w:bCs/>
                <w:color w:val="000000" w:themeColor="text1"/>
                <w:sz w:val="24"/>
                <w:szCs w:val="24"/>
                <w:lang w:eastAsia="en-US"/>
              </w:rPr>
            </w:pPr>
            <w:r>
              <w:rPr>
                <w:rFonts w:eastAsia="Calibri" w:cs="Times New Roman" w:ascii="Times New Roman" w:hAnsi="Times New Roman" w:eastAsiaTheme="minorHAnsi"/>
                <w:b/>
                <w:bCs/>
                <w:color w:val="000000" w:themeColor="text1"/>
                <w:sz w:val="24"/>
                <w:szCs w:val="24"/>
                <w:lang w:eastAsia="en-US"/>
              </w:rPr>
              <w:t>№</w:t>
            </w:r>
          </w:p>
        </w:tc>
        <w:tc>
          <w:tcPr>
            <w:tcW w:w="1985" w:type="dxa"/>
            <w:tcBorders/>
            <w:shd w:fill="auto" w:val="clear"/>
            <w:vAlign w:val="center"/>
          </w:tcPr>
          <w:p>
            <w:pPr>
              <w:pStyle w:val="Normal"/>
              <w:spacing w:lineRule="auto" w:line="240" w:before="0" w:after="0"/>
              <w:ind w:hanging="0"/>
              <w:jc w:val="center"/>
              <w:rPr>
                <w:rFonts w:ascii="Times New Roman" w:hAnsi="Times New Roman" w:eastAsia="Calibri" w:cs="Times New Roman" w:eastAsiaTheme="minorHAnsi"/>
                <w:b/>
                <w:b/>
                <w:bCs/>
                <w:color w:val="000000" w:themeColor="text1"/>
                <w:sz w:val="24"/>
                <w:szCs w:val="24"/>
                <w:lang w:eastAsia="en-US"/>
              </w:rPr>
            </w:pPr>
            <w:r>
              <w:rPr>
                <w:rFonts w:eastAsia="Calibri" w:cs="Times New Roman" w:ascii="Times New Roman" w:hAnsi="Times New Roman" w:eastAsiaTheme="minorHAnsi"/>
                <w:b/>
                <w:bCs/>
                <w:color w:val="000000" w:themeColor="text1"/>
                <w:sz w:val="24"/>
                <w:szCs w:val="24"/>
                <w:lang w:eastAsia="en-US"/>
              </w:rPr>
              <w:t>Организация культуры</w:t>
            </w:r>
          </w:p>
        </w:tc>
        <w:tc>
          <w:tcPr>
            <w:tcW w:w="6805" w:type="dxa"/>
            <w:tcBorders/>
            <w:shd w:fill="auto" w:val="clear"/>
            <w:vAlign w:val="center"/>
          </w:tcPr>
          <w:p>
            <w:pPr>
              <w:pStyle w:val="Normal"/>
              <w:spacing w:lineRule="auto" w:line="240" w:before="0" w:after="0"/>
              <w:ind w:hanging="0"/>
              <w:jc w:val="center"/>
              <w:rPr>
                <w:rFonts w:ascii="Times New Roman" w:hAnsi="Times New Roman" w:eastAsia="Calibri" w:cs="Times New Roman" w:eastAsiaTheme="minorHAnsi"/>
                <w:b/>
                <w:b/>
                <w:color w:val="000000" w:themeColor="text1"/>
                <w:sz w:val="24"/>
                <w:szCs w:val="24"/>
                <w:lang w:eastAsia="en-US"/>
              </w:rPr>
            </w:pPr>
            <w:r>
              <w:rPr>
                <w:rFonts w:eastAsia="Calibri" w:cs="Times New Roman" w:ascii="Times New Roman" w:hAnsi="Times New Roman" w:eastAsiaTheme="minorHAnsi"/>
                <w:b/>
                <w:color w:val="000000" w:themeColor="text1"/>
                <w:sz w:val="24"/>
                <w:szCs w:val="24"/>
                <w:lang w:eastAsia="en-US"/>
              </w:rPr>
              <w:t>Дефициты</w:t>
            </w:r>
          </w:p>
        </w:tc>
      </w:tr>
      <w:tr>
        <w:trPr>
          <w:trHeight w:val="20" w:hRule="atLeast"/>
        </w:trPr>
        <w:tc>
          <w:tcPr>
            <w:tcW w:w="566" w:type="dxa"/>
            <w:tcBorders/>
            <w:shd w:fill="auto" w:val="clear"/>
          </w:tcPr>
          <w:p>
            <w:pPr>
              <w:pStyle w:val="Normal"/>
              <w:spacing w:lineRule="auto" w:line="240" w:before="0" w:after="0"/>
              <w:ind w:hanging="0"/>
              <w:jc w:val="center"/>
              <w:rPr>
                <w:rFonts w:ascii="Times New Roman" w:hAnsi="Times New Roman" w:eastAsia="Calibri" w:cs="Times New Roman" w:eastAsiaTheme="minorHAnsi"/>
                <w:color w:val="000000" w:themeColor="text1"/>
                <w:sz w:val="24"/>
                <w:szCs w:val="24"/>
                <w:lang w:eastAsia="en-US"/>
              </w:rPr>
            </w:pPr>
            <w:r>
              <w:rPr>
                <w:rFonts w:eastAsia="Calibri" w:cs="Times New Roman" w:ascii="Times New Roman" w:hAnsi="Times New Roman" w:eastAsiaTheme="minorHAnsi"/>
                <w:color w:val="000000" w:themeColor="text1"/>
                <w:sz w:val="24"/>
                <w:szCs w:val="24"/>
                <w:lang w:eastAsia="en-US"/>
              </w:rPr>
              <w:t>1</w:t>
            </w:r>
          </w:p>
        </w:tc>
        <w:tc>
          <w:tcPr>
            <w:tcW w:w="1985" w:type="dxa"/>
            <w:tcBorders/>
            <w:shd w:fill="auto" w:val="clear"/>
          </w:tcPr>
          <w:p>
            <w:pPr>
              <w:pStyle w:val="Normal"/>
              <w:spacing w:lineRule="auto" w:line="240" w:before="0" w:after="0"/>
              <w:ind w:hanging="0"/>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МБУК «</w:t>
            </w:r>
            <w:r>
              <w:rPr>
                <w:rFonts w:eastAsia="Times New Roman" w:cs="Times New Roman" w:ascii="Times New Roman" w:hAnsi="Times New Roman"/>
                <w:color w:val="000000" w:themeColor="text1"/>
                <w:sz w:val="24"/>
                <w:szCs w:val="24"/>
              </w:rPr>
              <w:t>Савдянский сельский Дом культуры</w:t>
            </w:r>
            <w:r>
              <w:rPr>
                <w:rFonts w:cs="Times New Roman" w:ascii="Times New Roman" w:hAnsi="Times New Roman"/>
                <w:color w:val="000000" w:themeColor="text1"/>
                <w:sz w:val="24"/>
                <w:szCs w:val="24"/>
              </w:rPr>
              <w:t>»</w:t>
            </w:r>
          </w:p>
        </w:tc>
        <w:tc>
          <w:tcPr>
            <w:tcW w:w="6805" w:type="dxa"/>
            <w:tcBorders/>
            <w:shd w:fill="auto" w:val="clear"/>
          </w:tcPr>
          <w:p>
            <w:pPr>
              <w:pStyle w:val="ListParagraph"/>
              <w:numPr>
                <w:ilvl w:val="0"/>
                <w:numId w:val="2"/>
              </w:numPr>
              <w:tabs>
                <w:tab w:val="left" w:pos="459" w:leader="none"/>
              </w:tabs>
              <w:ind w:left="34" w:hanging="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Отсутствуют выделенные стоянки для автотранспортных средств инвалидов.</w:t>
            </w:r>
          </w:p>
          <w:p>
            <w:pPr>
              <w:pStyle w:val="ListParagraph"/>
              <w:numPr>
                <w:ilvl w:val="0"/>
                <w:numId w:val="2"/>
              </w:numPr>
              <w:tabs>
                <w:tab w:val="left" w:pos="459" w:leader="none"/>
                <w:tab w:val="left" w:pos="600" w:leader="none"/>
              </w:tabs>
              <w:spacing w:lineRule="auto" w:line="240" w:before="0" w:after="0"/>
              <w:ind w:left="34" w:hanging="0"/>
              <w:contextualSpacing/>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Не предусмотрено наличие сменных кресел-колясок.</w:t>
            </w:r>
          </w:p>
          <w:p>
            <w:pPr>
              <w:pStyle w:val="ListParagraph"/>
              <w:numPr>
                <w:ilvl w:val="0"/>
                <w:numId w:val="2"/>
              </w:numPr>
              <w:tabs>
                <w:tab w:val="left" w:pos="459" w:leader="none"/>
                <w:tab w:val="left" w:pos="600" w:leader="none"/>
              </w:tabs>
              <w:spacing w:lineRule="auto" w:line="240" w:before="0" w:after="0"/>
              <w:ind w:left="34" w:hanging="0"/>
              <w:contextualSpacing/>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Отсутствуют специально оборудованные санитарно-гигиенические помещения.</w:t>
            </w:r>
          </w:p>
          <w:p>
            <w:pPr>
              <w:pStyle w:val="ListParagraph"/>
              <w:numPr>
                <w:ilvl w:val="0"/>
                <w:numId w:val="2"/>
              </w:numPr>
              <w:tabs>
                <w:tab w:val="left" w:pos="459" w:leader="none"/>
                <w:tab w:val="left" w:pos="600" w:leader="none"/>
              </w:tabs>
              <w:spacing w:lineRule="auto" w:line="240" w:before="0" w:after="0"/>
              <w:ind w:left="34" w:hanging="0"/>
              <w:contextualSpacing/>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Не предусмотрено дублирование звуковой и зрительной информации для инвалидов по слуху и зрению.</w:t>
            </w:r>
          </w:p>
          <w:p>
            <w:pPr>
              <w:pStyle w:val="ListParagraph"/>
              <w:numPr>
                <w:ilvl w:val="0"/>
                <w:numId w:val="2"/>
              </w:numPr>
              <w:tabs>
                <w:tab w:val="left" w:pos="33" w:leader="none"/>
                <w:tab w:val="left" w:pos="459" w:leader="none"/>
                <w:tab w:val="left" w:pos="600" w:leader="none"/>
              </w:tabs>
              <w:spacing w:lineRule="auto" w:line="240" w:before="0" w:after="0"/>
              <w:ind w:left="34" w:hanging="0"/>
              <w:contextualSpacing/>
              <w:jc w:val="both"/>
              <w:rPr>
                <w:rFonts w:ascii="Times New Roman" w:hAnsi="Times New Roman" w:cs="Times New Roman"/>
                <w:color w:val="000000" w:themeColor="text1"/>
                <w:sz w:val="24"/>
                <w:szCs w:val="24"/>
              </w:rPr>
            </w:pPr>
            <w:r>
              <w:rPr>
                <w:rFonts w:cs="Times New Roman" w:ascii="Times New Roman" w:hAnsi="Times New Roman"/>
                <w:sz w:val="24"/>
                <w:szCs w:val="24"/>
              </w:rPr>
              <w:t>Отсутствует дублирование надписей, знаков и иной текстовой и графической информации знаками, выполненными рельефно-точечным шрифтом Брайля</w:t>
            </w:r>
            <w:r>
              <w:rPr>
                <w:rFonts w:cs="Times New Roman" w:ascii="Times New Roman" w:hAnsi="Times New Roman"/>
                <w:color w:val="000000" w:themeColor="text1"/>
                <w:sz w:val="24"/>
                <w:szCs w:val="24"/>
              </w:rPr>
              <w:t>.</w:t>
            </w:r>
          </w:p>
          <w:p>
            <w:pPr>
              <w:pStyle w:val="ListParagraph"/>
              <w:numPr>
                <w:ilvl w:val="0"/>
                <w:numId w:val="2"/>
              </w:numPr>
              <w:tabs>
                <w:tab w:val="left" w:pos="33" w:leader="none"/>
                <w:tab w:val="left" w:pos="459" w:leader="none"/>
                <w:tab w:val="left" w:pos="600" w:leader="none"/>
              </w:tabs>
              <w:spacing w:lineRule="auto" w:line="240" w:before="0" w:after="0"/>
              <w:ind w:left="34" w:hanging="0"/>
              <w:contextualSpacing/>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Не предусмотрена возможность предоставления инвалидам по слуху (слуху и зрению) услуг сурдопереводчика (тифлосурдопереводчика).</w:t>
            </w:r>
          </w:p>
        </w:tc>
      </w:tr>
    </w:tbl>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Кроме того, в рамках этого раздела на основе изучения мнения респондентов осуществлена оценка доли получателей услуг, удовлетворенных доступностью услуг для инвалидов 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w:t>
      </w:r>
      <w:r>
        <w:rPr>
          <w:rFonts w:cs="Times New Roman" w:ascii="Times New Roman" w:hAnsi="Times New Roman"/>
          <w:i/>
          <w:color w:val="000000" w:themeColor="text1"/>
          <w:sz w:val="28"/>
          <w:szCs w:val="28"/>
        </w:rPr>
        <w:t>в % от общего числа опрошенных получателей услуг-инвалидов</w:t>
      </w:r>
      <w:r>
        <w:rPr>
          <w:rFonts w:cs="Times New Roman" w:ascii="Times New Roman" w:hAnsi="Times New Roman"/>
          <w:color w:val="000000" w:themeColor="text1"/>
          <w:sz w:val="28"/>
          <w:szCs w:val="28"/>
        </w:rPr>
        <w:t>).</w:t>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color w:val="000000" w:themeColor="text1"/>
          <w:sz w:val="28"/>
          <w:szCs w:val="28"/>
          <w:lang w:eastAsia="en-US"/>
        </w:rPr>
        <w:t>Информация по данному разделу представлена в таблицах 5.3 и 5.4.</w:t>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5.3 – Доля получателей услуг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удовлетворенных доступностью услуг для инвалидов</w:t>
        <w:br/>
        <w:t>(в % от общего числа опрошенных получателей услуг-инвалидов)</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851"/>
        <w:gridCol w:w="6662"/>
        <w:gridCol w:w="1843"/>
      </w:tblGrid>
      <w:tr>
        <w:trPr/>
        <w:tc>
          <w:tcPr>
            <w:tcW w:w="85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6662"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 xml:space="preserve">Параметры </w:t>
            </w:r>
            <w:r>
              <w:rPr>
                <w:rFonts w:cs="Times New Roman" w:ascii="Times New Roman" w:hAnsi="Times New Roman"/>
                <w:b/>
                <w:color w:val="000000" w:themeColor="text1"/>
                <w:sz w:val="24"/>
                <w:szCs w:val="24"/>
                <w:lang w:val="en-US"/>
              </w:rPr>
              <w:t>/</w:t>
            </w:r>
            <w:r>
              <w:rPr>
                <w:rFonts w:cs="Times New Roman" w:ascii="Times New Roman" w:hAnsi="Times New Roman"/>
                <w:b/>
                <w:color w:val="000000" w:themeColor="text1"/>
                <w:sz w:val="24"/>
                <w:szCs w:val="24"/>
              </w:rPr>
              <w:t xml:space="preserve"> показатели</w:t>
            </w:r>
          </w:p>
        </w:tc>
        <w:tc>
          <w:tcPr>
            <w:tcW w:w="1843"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ССДК</w:t>
            </w:r>
          </w:p>
        </w:tc>
      </w:tr>
      <w:tr>
        <w:trPr/>
        <w:tc>
          <w:tcPr>
            <w:tcW w:w="851"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color w:val="000000" w:themeColor="text1"/>
                <w:sz w:val="24"/>
                <w:szCs w:val="24"/>
                <w:lang w:val="en-US"/>
              </w:rPr>
            </w:pPr>
            <w:r>
              <w:rPr>
                <w:rFonts w:cs="Times New Roman" w:ascii="Times New Roman" w:hAnsi="Times New Roman"/>
                <w:color w:val="000000" w:themeColor="text1"/>
                <w:sz w:val="24"/>
                <w:szCs w:val="24"/>
                <w:lang w:val="en-US"/>
              </w:rPr>
              <w:t>3</w:t>
            </w:r>
          </w:p>
        </w:tc>
        <w:tc>
          <w:tcPr>
            <w:tcW w:w="8505"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Доступность услуг для инвалидов</w:t>
            </w:r>
          </w:p>
        </w:tc>
      </w:tr>
      <w:tr>
        <w:trPr/>
        <w:tc>
          <w:tcPr>
            <w:tcW w:w="851"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w:t>
            </w:r>
          </w:p>
        </w:tc>
        <w:tc>
          <w:tcPr>
            <w:tcW w:w="8505" w:type="dxa"/>
            <w:gridSpan w:val="2"/>
            <w:tcBorders/>
            <w:shd w:color="auto" w:fill="F2F2F2" w:themeFill="background1" w:themeFillShade="f2"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доступностью услуг для инвалидов:</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3.3.1</w:t>
            </w:r>
          </w:p>
        </w:tc>
        <w:tc>
          <w:tcPr>
            <w:tcW w:w="6662"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оборудование входных групп пандусами / подъемными платформами;</w:t>
            </w:r>
          </w:p>
        </w:tc>
        <w:tc>
          <w:tcPr>
            <w:tcW w:w="1843"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94,6</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3.3.2</w:t>
            </w:r>
          </w:p>
        </w:tc>
        <w:tc>
          <w:tcPr>
            <w:tcW w:w="6662"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 выделенных стоянок для автотранспортных средств инвалидов;</w:t>
            </w:r>
          </w:p>
        </w:tc>
        <w:tc>
          <w:tcPr>
            <w:tcW w:w="1843"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37,8</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3.3.3</w:t>
            </w:r>
          </w:p>
        </w:tc>
        <w:tc>
          <w:tcPr>
            <w:tcW w:w="6662" w:type="dxa"/>
            <w:tcBorders/>
            <w:shd w:fill="auto" w:val="clear"/>
            <w:vAlign w:val="center"/>
          </w:tcPr>
          <w:p>
            <w:pPr>
              <w:pStyle w:val="Normal"/>
              <w:spacing w:lineRule="auto" w:line="240" w:before="0" w:after="0"/>
              <w:jc w:val="both"/>
              <w:rPr>
                <w:rFonts w:ascii="Times New Roman" w:hAnsi="Times New Roman" w:cs="Times New Roman"/>
                <w:color w:val="000000" w:themeColor="text1"/>
                <w:spacing w:val="-4"/>
                <w:sz w:val="24"/>
                <w:szCs w:val="24"/>
              </w:rPr>
            </w:pPr>
            <w:r>
              <w:rPr>
                <w:rFonts w:cs="Times New Roman" w:ascii="Times New Roman" w:hAnsi="Times New Roman"/>
                <w:color w:val="000000" w:themeColor="text1"/>
                <w:spacing w:val="-4"/>
                <w:sz w:val="24"/>
                <w:szCs w:val="24"/>
              </w:rPr>
              <w:t>наличие адаптированных лифтов, поручней, расширенных дверных проемов;</w:t>
            </w:r>
          </w:p>
        </w:tc>
        <w:tc>
          <w:tcPr>
            <w:tcW w:w="1843"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67,6</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3.3.4</w:t>
            </w:r>
          </w:p>
        </w:tc>
        <w:tc>
          <w:tcPr>
            <w:tcW w:w="6662"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 сменных кресел-колясок;</w:t>
            </w:r>
          </w:p>
        </w:tc>
        <w:tc>
          <w:tcPr>
            <w:tcW w:w="1843"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0,0</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3.3.5</w:t>
            </w:r>
          </w:p>
        </w:tc>
        <w:tc>
          <w:tcPr>
            <w:tcW w:w="6662"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 специально оборудованных санитарно-гигиенических помещений в организации;</w:t>
            </w:r>
          </w:p>
        </w:tc>
        <w:tc>
          <w:tcPr>
            <w:tcW w:w="1843"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85,1</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3.3.6</w:t>
            </w:r>
          </w:p>
        </w:tc>
        <w:tc>
          <w:tcPr>
            <w:tcW w:w="6662"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дублирование для инвалидов по слуху и зрению звуковой и зрительной информации;</w:t>
            </w:r>
          </w:p>
        </w:tc>
        <w:tc>
          <w:tcPr>
            <w:tcW w:w="1843"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77,0</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3.3.7</w:t>
            </w:r>
          </w:p>
        </w:tc>
        <w:tc>
          <w:tcPr>
            <w:tcW w:w="6662"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дублирование надписей, знаков и иной текстовой и графической информации знаками, выполненными рельефно-точечным шрифтом Брайля;</w:t>
            </w:r>
          </w:p>
        </w:tc>
        <w:tc>
          <w:tcPr>
            <w:tcW w:w="1843"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84,1</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3.3.8</w:t>
            </w:r>
          </w:p>
        </w:tc>
        <w:tc>
          <w:tcPr>
            <w:tcW w:w="6662"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возможность предоставления инвалидам по слуху (слуху и зрению) услуг сурдопереводчика (тифлосурдопереводчика);</w:t>
            </w:r>
          </w:p>
        </w:tc>
        <w:tc>
          <w:tcPr>
            <w:tcW w:w="1843"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50,0</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3.3.9</w:t>
            </w:r>
          </w:p>
        </w:tc>
        <w:tc>
          <w:tcPr>
            <w:tcW w:w="6662"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843"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91,8</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3.3.10</w:t>
            </w:r>
          </w:p>
        </w:tc>
        <w:tc>
          <w:tcPr>
            <w:tcW w:w="6662"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 возможности предоставления услуги в дистанционном режиме или на дому.</w:t>
            </w:r>
          </w:p>
        </w:tc>
        <w:tc>
          <w:tcPr>
            <w:tcW w:w="1843"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93,2</w:t>
            </w:r>
          </w:p>
        </w:tc>
      </w:tr>
    </w:tbl>
    <w:p>
      <w:pPr>
        <w:pStyle w:val="Normal"/>
        <w:spacing w:lineRule="auto" w:line="240" w:before="0" w:after="0"/>
        <w:ind w:firstLine="709"/>
        <w:jc w:val="both"/>
        <w:rPr>
          <w:rFonts w:ascii="Times New Roman" w:hAnsi="Times New Roman" w:eastAsia="Calibri" w:cs="Times New Roman" w:eastAsiaTheme="minorHAnsi"/>
          <w:color w:val="000000" w:themeColor="text1"/>
          <w:sz w:val="28"/>
          <w:szCs w:val="28"/>
          <w:lang w:val="en-US" w:eastAsia="en-US"/>
        </w:rPr>
      </w:pPr>
      <w:r>
        <w:rPr>
          <w:rFonts w:eastAsia="Calibri" w:cs="Times New Roman" w:eastAsiaTheme="minorHAnsi" w:ascii="Times New Roman" w:hAnsi="Times New Roman"/>
          <w:color w:val="000000" w:themeColor="text1"/>
          <w:sz w:val="28"/>
          <w:szCs w:val="28"/>
          <w:lang w:val="en-US" w:eastAsia="en-US"/>
        </w:rPr>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5.4 – Средние значения оценки параметров, характеризующих удовлетворенность доступностью услуг для инвалидов в</w:t>
        <w:b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баллы</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851"/>
        <w:gridCol w:w="6805"/>
        <w:gridCol w:w="1700"/>
      </w:tblGrid>
      <w:tr>
        <w:trPr/>
        <w:tc>
          <w:tcPr>
            <w:tcW w:w="85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6805"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1700"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ССДК</w:t>
            </w:r>
          </w:p>
        </w:tc>
      </w:tr>
      <w:tr>
        <w:trPr/>
        <w:tc>
          <w:tcPr>
            <w:tcW w:w="851"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w:t>
            </w:r>
          </w:p>
        </w:tc>
        <w:tc>
          <w:tcPr>
            <w:tcW w:w="8505"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Доступность услуг для инвалидов</w:t>
            </w:r>
          </w:p>
        </w:tc>
      </w:tr>
      <w:tr>
        <w:trPr/>
        <w:tc>
          <w:tcPr>
            <w:tcW w:w="851"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w:t>
            </w:r>
          </w:p>
        </w:tc>
        <w:tc>
          <w:tcPr>
            <w:tcW w:w="8505" w:type="dxa"/>
            <w:gridSpan w:val="2"/>
            <w:tcBorders/>
            <w:shd w:color="auto" w:fill="F2F2F2" w:themeFill="background1" w:themeFillShade="f2"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доступностью услуг для инвалидов:</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3.3.1</w:t>
            </w:r>
          </w:p>
        </w:tc>
        <w:tc>
          <w:tcPr>
            <w:tcW w:w="6805"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оборудование входных групп пандусами / подъемными платформами;</w:t>
            </w:r>
          </w:p>
        </w:tc>
        <w:tc>
          <w:tcPr>
            <w:tcW w:w="1700"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95</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3.3.2</w:t>
            </w:r>
          </w:p>
        </w:tc>
        <w:tc>
          <w:tcPr>
            <w:tcW w:w="6805"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 выделенных стоянок для автотранспортных средств инвалидов;</w:t>
            </w:r>
          </w:p>
        </w:tc>
        <w:tc>
          <w:tcPr>
            <w:tcW w:w="1700"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38</w:t>
            </w:r>
          </w:p>
        </w:tc>
      </w:tr>
      <w:tr>
        <w:trPr>
          <w:trHeight w:val="371" w:hRule="atLeast"/>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3.3.3</w:t>
            </w:r>
          </w:p>
        </w:tc>
        <w:tc>
          <w:tcPr>
            <w:tcW w:w="6805" w:type="dxa"/>
            <w:tcBorders/>
            <w:shd w:fill="auto" w:val="clear"/>
            <w:vAlign w:val="center"/>
          </w:tcPr>
          <w:p>
            <w:pPr>
              <w:pStyle w:val="Normal"/>
              <w:spacing w:lineRule="auto" w:line="240" w:before="0" w:after="0"/>
              <w:jc w:val="both"/>
              <w:rPr>
                <w:rFonts w:ascii="Times New Roman" w:hAnsi="Times New Roman" w:cs="Times New Roman"/>
                <w:color w:val="000000" w:themeColor="text1"/>
                <w:spacing w:val="-4"/>
                <w:sz w:val="24"/>
                <w:szCs w:val="24"/>
              </w:rPr>
            </w:pPr>
            <w:r>
              <w:rPr>
                <w:rFonts w:cs="Times New Roman" w:ascii="Times New Roman" w:hAnsi="Times New Roman"/>
                <w:color w:val="000000" w:themeColor="text1"/>
                <w:spacing w:val="-4"/>
                <w:sz w:val="24"/>
                <w:szCs w:val="24"/>
              </w:rPr>
              <w:t>наличие адаптированных лифтов, поручней, расширенных дверных проемов;</w:t>
            </w:r>
          </w:p>
        </w:tc>
        <w:tc>
          <w:tcPr>
            <w:tcW w:w="1700"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68</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3.3.4</w:t>
            </w:r>
          </w:p>
        </w:tc>
        <w:tc>
          <w:tcPr>
            <w:tcW w:w="6805"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 сменных кресел-колясок;</w:t>
            </w:r>
          </w:p>
        </w:tc>
        <w:tc>
          <w:tcPr>
            <w:tcW w:w="1700"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0</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3.3.5</w:t>
            </w:r>
          </w:p>
        </w:tc>
        <w:tc>
          <w:tcPr>
            <w:tcW w:w="6805"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 специально оборудованных санитарно-гигиенических помещений в организации;</w:t>
            </w:r>
          </w:p>
        </w:tc>
        <w:tc>
          <w:tcPr>
            <w:tcW w:w="1700"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85</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3.3.6</w:t>
            </w:r>
          </w:p>
        </w:tc>
        <w:tc>
          <w:tcPr>
            <w:tcW w:w="6805"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дублирование для инвалидов по слуху и зрению звуковой и зрительной информации;</w:t>
            </w:r>
          </w:p>
        </w:tc>
        <w:tc>
          <w:tcPr>
            <w:tcW w:w="1700"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77</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3.3.7</w:t>
            </w:r>
          </w:p>
        </w:tc>
        <w:tc>
          <w:tcPr>
            <w:tcW w:w="6805"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дублирование надписей, знаков и иной текстовой и графической информации знаками, выполненными рельефно-точечным шрифтом Брайля;</w:t>
            </w:r>
          </w:p>
        </w:tc>
        <w:tc>
          <w:tcPr>
            <w:tcW w:w="1700"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84</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3.3.8</w:t>
            </w:r>
          </w:p>
        </w:tc>
        <w:tc>
          <w:tcPr>
            <w:tcW w:w="6805"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возможность предоставления инвалидам по слуху (слуху и зрению) услуг сурдопереводчика (тифлосурдопереводчика);</w:t>
            </w:r>
          </w:p>
        </w:tc>
        <w:tc>
          <w:tcPr>
            <w:tcW w:w="1700"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50</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3.3.9</w:t>
            </w:r>
          </w:p>
        </w:tc>
        <w:tc>
          <w:tcPr>
            <w:tcW w:w="6805"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700"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92</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3.3.10</w:t>
            </w:r>
          </w:p>
        </w:tc>
        <w:tc>
          <w:tcPr>
            <w:tcW w:w="6805" w:type="dxa"/>
            <w:tcBorders/>
            <w:shd w:fill="auto" w:val="clear"/>
            <w:vAlign w:val="cente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наличие возможности предоставления услуги в дистанционном режиме или на дому.</w:t>
            </w:r>
          </w:p>
        </w:tc>
        <w:tc>
          <w:tcPr>
            <w:tcW w:w="1700"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93</w:t>
            </w:r>
          </w:p>
        </w:tc>
      </w:tr>
      <w:tr>
        <w:trPr/>
        <w:tc>
          <w:tcPr>
            <w:tcW w:w="851"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p>
        </w:tc>
        <w:tc>
          <w:tcPr>
            <w:tcW w:w="6805" w:type="dxa"/>
            <w:tcBorders/>
            <w:shd w:color="auto" w:fill="D9D9D9" w:themeFill="background1" w:themeFillShade="d9" w:val="clear"/>
            <w:vAlign w:val="center"/>
          </w:tcPr>
          <w:p>
            <w:pPr>
              <w:pStyle w:val="Normal"/>
              <w:spacing w:lineRule="auto" w:line="240" w:before="0" w:after="0"/>
              <w:rPr>
                <w:rFonts w:ascii="Times New Roman" w:hAnsi="Times New Roman" w:cs="Times New Roman"/>
                <w:color w:val="000000" w:themeColor="text1"/>
                <w:sz w:val="24"/>
                <w:szCs w:val="24"/>
              </w:rPr>
            </w:pPr>
            <w:r>
              <w:rPr>
                <w:rFonts w:cs="Times New Roman" w:ascii="Times New Roman" w:hAnsi="Times New Roman"/>
                <w:b/>
                <w:color w:val="000000" w:themeColor="text1"/>
                <w:sz w:val="24"/>
                <w:szCs w:val="24"/>
              </w:rPr>
              <w:t>В среднем по пп. 3.3.1-3.3.10 (максимум – 100 баллов)</w:t>
            </w:r>
          </w:p>
        </w:tc>
        <w:tc>
          <w:tcPr>
            <w:tcW w:w="1700"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68</w:t>
            </w:r>
          </w:p>
        </w:tc>
      </w:tr>
    </w:tbl>
    <w:p>
      <w:pPr>
        <w:pStyle w:val="Normal"/>
        <w:spacing w:lineRule="auto" w:line="360" w:before="0" w:after="0"/>
        <w:ind w:firstLine="709"/>
        <w:jc w:val="both"/>
        <w:rPr>
          <w:rFonts w:ascii="Times New Roman" w:hAnsi="Times New Roman" w:eastAsia="Calibri" w:cs="Times New Roman" w:eastAsiaTheme="minorHAnsi"/>
          <w:color w:val="000000" w:themeColor="text1"/>
          <w:sz w:val="28"/>
          <w:szCs w:val="28"/>
          <w:lang w:eastAsia="en-US"/>
        </w:rPr>
      </w:pPr>
      <w:r>
        <w:rPr>
          <w:rFonts w:eastAsia="Calibri" w:cs="Times New Roman" w:eastAsiaTheme="minorHAnsi"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Анализ результатов восприятия получателями услуг </w:t>
      </w:r>
      <w:r>
        <w:rPr>
          <w:rFonts w:cs="Times New Roman" w:ascii="Times New Roman" w:hAnsi="Times New Roman"/>
          <w:i/>
          <w:color w:val="000000" w:themeColor="text1"/>
          <w:sz w:val="28"/>
          <w:szCs w:val="28"/>
        </w:rPr>
        <w:t xml:space="preserve">доступности услуг для инвалидов </w:t>
      </w:r>
      <w:r>
        <w:rPr>
          <w:rFonts w:cs="Times New Roman" w:ascii="Times New Roman" w:hAnsi="Times New Roman"/>
          <w:color w:val="000000" w:themeColor="text1"/>
          <w:sz w:val="28"/>
          <w:szCs w:val="28"/>
        </w:rPr>
        <w:t>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показывает, что респонденты оценивают часть изучаемых параметров на низком уровне, а часть из параметров – на среднем и высоком уровне (доля удовлетворенных получателей услуг, средние значения оценки параметров).</w:t>
      </w:r>
    </w:p>
    <w:p>
      <w:pPr>
        <w:pStyle w:val="Normal"/>
        <w:spacing w:lineRule="auto" w:line="360" w:before="0" w:after="0"/>
        <w:ind w:firstLine="709"/>
        <w:jc w:val="both"/>
        <w:rPr>
          <w:rFonts w:ascii="Times New Roman" w:hAnsi="Times New Roman" w:eastAsia="Times New Roman" w:cs="Times New Roman"/>
          <w:color w:val="000000" w:themeColor="text1"/>
          <w:sz w:val="28"/>
          <w:szCs w:val="28"/>
        </w:rPr>
      </w:pPr>
      <w:r>
        <w:rPr>
          <w:rFonts w:cs="Times New Roman" w:ascii="Times New Roman" w:hAnsi="Times New Roman"/>
          <w:color w:val="000000" w:themeColor="text1"/>
          <w:sz w:val="28"/>
          <w:szCs w:val="28"/>
        </w:rPr>
        <w:t xml:space="preserve">Наблюдается </w:t>
      </w:r>
      <w:r>
        <w:rPr>
          <w:rFonts w:eastAsia="Times New Roman" w:cs="Times New Roman" w:ascii="Times New Roman" w:hAnsi="Times New Roman"/>
          <w:color w:val="000000" w:themeColor="text1"/>
          <w:sz w:val="28"/>
          <w:szCs w:val="28"/>
        </w:rPr>
        <w:t>значительный разброс значений удовлетворенности потребителей по параметрам п. 3.3, а также зафиксированы низкие и нулевые значения по ряду параметров (таблицы 5.3-5.4):</w:t>
      </w:r>
    </w:p>
    <w:p>
      <w:pPr>
        <w:pStyle w:val="Normal"/>
        <w:spacing w:lineRule="auto" w:line="360" w:before="0" w:after="0"/>
        <w:ind w:firstLine="709"/>
        <w:jc w:val="both"/>
        <w:rPr>
          <w:rFonts w:ascii="Times New Roman" w:hAnsi="Times New Roman" w:eastAsia="Times New Roman" w:cs="Times New Roman"/>
          <w:color w:val="000000" w:themeColor="text1"/>
          <w:sz w:val="28"/>
          <w:szCs w:val="28"/>
        </w:rPr>
      </w:pPr>
      <w:r>
        <w:rPr>
          <w:rFonts w:eastAsia="Times New Roman" w:cs="Times New Roman" w:ascii="Times New Roman" w:hAnsi="Times New Roman"/>
          <w:color w:val="000000" w:themeColor="text1"/>
          <w:sz w:val="28"/>
          <w:szCs w:val="28"/>
        </w:rPr>
        <w:t>- удовлетворенность оборудованием входных групп пандусами / подъемными платформами (оценка удовлетворенности – 94,6%; средняя оценка параметра – 95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удовлетворенность наличием выделенных стоянок для автотранспортных средств инвалидов (оценка удовлетворенности – 37,8%; средняя оценка параметра – 38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удовлетворенность наличием адаптированных лифтов, поручней, расширенных дверных проемов (оценка удовлетворенности – 67,6%; средняя оценка параметра – 68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удовлетворенность наличием сменных кресел-колясок (оценка удовлетворенности – 0,0%; средняя оценка параметра – 0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удовлетворенность наличием специально оборудованных санитарно-гигиенических помещений в организации (оценка удовлетворенности – 85,1%; средняя оценка параметра – 85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удовлетворенность дублированием для инвалидов по слуху и зрению звуковой и зрительной информации (оценка удовлетворенности – 77,0%; средняя оценка параметра – 77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удовлетворенность дублированием надписей, знаков и иной текстовой и графической информации знаками, выполненными рельефно-точечным шрифтом Брайля (оценка удовлетворенности – 84,1%; средняя оценка параметра – 84 балла);</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удовлетворенность возможностью предоставления инвалидам по слуху (слуху и зрению) услуг сурдопереводчика (тифлосурдопереводчика) (оценка удовлетворенности – 50,0%; средняя оценка параметра – 50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удовлетворенность помощью, оказываемой работниками организации, прошедшими необходимое обучение (инструктирование) (возможностью сопровождения работниками организации) (оценка удовлетворенности – 91,8%; средняя оценка параметра – 92 балла);</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удовлетворенность наличием возможности предоставления услуги в дистанционном режиме или на дому (оценка удовлетворенности – 93,2%; средняя оценка параметра – 93 балла).</w:t>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i/>
          <w:color w:val="000000" w:themeColor="text1"/>
          <w:sz w:val="28"/>
          <w:szCs w:val="28"/>
          <w:lang w:eastAsia="en-US"/>
        </w:rPr>
        <w:t>Интегральные показатели</w:t>
      </w:r>
      <w:r>
        <w:rPr>
          <w:rFonts w:eastAsia="Calibri" w:cs="Times New Roman" w:ascii="Times New Roman" w:hAnsi="Times New Roman"/>
          <w:color w:val="000000" w:themeColor="text1"/>
          <w:sz w:val="28"/>
          <w:szCs w:val="28"/>
          <w:lang w:eastAsia="en-US"/>
        </w:rPr>
        <w:t>, характеризующие доступность услуг для инвалидов в МБУК «</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 представлены в таблице 5.5 и на рисунке 5.1.</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5.5 – Интегральные показатели, характеризующие</w:t>
        <w:br/>
        <w:t>доступность услуг для инвалидов 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p>
    <w:tbl>
      <w:tblPr>
        <w:tblStyle w:val="12"/>
        <w:tblW w:w="9356" w:type="dxa"/>
        <w:jc w:val="left"/>
        <w:tblInd w:w="108" w:type="dxa"/>
        <w:tblCellMar>
          <w:top w:w="0" w:type="dxa"/>
          <w:left w:w="108" w:type="dxa"/>
          <w:bottom w:w="0" w:type="dxa"/>
          <w:right w:w="108" w:type="dxa"/>
        </w:tblCellMar>
        <w:tblLook w:firstRow="1" w:noVBand="1" w:lastRow="0" w:firstColumn="1" w:lastColumn="0" w:noHBand="0" w:val="04a0"/>
      </w:tblPr>
      <w:tblGrid>
        <w:gridCol w:w="582"/>
        <w:gridCol w:w="4379"/>
        <w:gridCol w:w="992"/>
        <w:gridCol w:w="1843"/>
        <w:gridCol w:w="1"/>
        <w:gridCol w:w="1559"/>
      </w:tblGrid>
      <w:tr>
        <w:trPr/>
        <w:tc>
          <w:tcPr>
            <w:tcW w:w="582"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4379"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992"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Баллы</w:t>
            </w:r>
          </w:p>
        </w:tc>
        <w:tc>
          <w:tcPr>
            <w:tcW w:w="1843"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Коэффициент значимости показателя</w:t>
            </w:r>
          </w:p>
        </w:tc>
        <w:tc>
          <w:tcPr>
            <w:tcW w:w="1560" w:type="dxa"/>
            <w:gridSpan w:val="2"/>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Значение показателя, баллы</w:t>
            </w:r>
          </w:p>
        </w:tc>
      </w:tr>
      <w:tr>
        <w:trPr/>
        <w:tc>
          <w:tcPr>
            <w:tcW w:w="582" w:type="dxa"/>
            <w:tcBorders/>
            <w:shd w:color="auto" w:fill="D9D9D9" w:themeFill="background1" w:themeFillShade="d9"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w:t>
            </w:r>
          </w:p>
        </w:tc>
        <w:tc>
          <w:tcPr>
            <w:tcW w:w="8774" w:type="dxa"/>
            <w:gridSpan w:val="5"/>
            <w:tcBorders/>
            <w:shd w:color="auto" w:fill="D9D9D9" w:themeFill="background1" w:themeFillShade="d9"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Доступность услуг для инвалидов</w:t>
            </w:r>
          </w:p>
        </w:tc>
      </w:tr>
      <w:tr>
        <w:trPr/>
        <w:tc>
          <w:tcPr>
            <w:tcW w:w="582"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3.1</w:t>
            </w:r>
          </w:p>
        </w:tc>
        <w:tc>
          <w:tcPr>
            <w:tcW w:w="4379"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Оборудование территории, прилегающей к организации, и ее помещений с учетом доступности для инвалидов</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40</w:t>
            </w:r>
          </w:p>
        </w:tc>
        <w:tc>
          <w:tcPr>
            <w:tcW w:w="1843"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0,3</w:t>
            </w:r>
          </w:p>
        </w:tc>
        <w:tc>
          <w:tcPr>
            <w:tcW w:w="1560" w:type="dxa"/>
            <w:gridSpan w:val="2"/>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12,0</w:t>
            </w:r>
          </w:p>
        </w:tc>
      </w:tr>
      <w:tr>
        <w:trPr/>
        <w:tc>
          <w:tcPr>
            <w:tcW w:w="582"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3.2</w:t>
            </w:r>
          </w:p>
        </w:tc>
        <w:tc>
          <w:tcPr>
            <w:tcW w:w="4379"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Обеспечение в организации условий доступности, позволяющих инвалидам получать услуги наравне с другими</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60</w:t>
            </w:r>
          </w:p>
        </w:tc>
        <w:tc>
          <w:tcPr>
            <w:tcW w:w="1843"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0,4</w:t>
            </w:r>
          </w:p>
        </w:tc>
        <w:tc>
          <w:tcPr>
            <w:tcW w:w="1560" w:type="dxa"/>
            <w:gridSpan w:val="2"/>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24,0</w:t>
            </w:r>
          </w:p>
        </w:tc>
      </w:tr>
      <w:tr>
        <w:trPr/>
        <w:tc>
          <w:tcPr>
            <w:tcW w:w="582"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w:t>
            </w:r>
          </w:p>
        </w:tc>
        <w:tc>
          <w:tcPr>
            <w:tcW w:w="4379" w:type="dxa"/>
            <w:tcBorders/>
            <w:shd w:fill="auto"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доступностью услуг для инвалидов (в % от общего числа опрошенных получателей услуг - инвалидов)</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68</w:t>
            </w:r>
          </w:p>
        </w:tc>
        <w:tc>
          <w:tcPr>
            <w:tcW w:w="1843"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0,3</w:t>
            </w:r>
          </w:p>
        </w:tc>
        <w:tc>
          <w:tcPr>
            <w:tcW w:w="1560" w:type="dxa"/>
            <w:gridSpan w:val="2"/>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20,4</w:t>
            </w:r>
          </w:p>
        </w:tc>
      </w:tr>
      <w:tr>
        <w:trPr/>
        <w:tc>
          <w:tcPr>
            <w:tcW w:w="582"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7215" w:type="dxa"/>
            <w:gridSpan w:val="4"/>
            <w:tcBorders/>
            <w:shd w:color="auto" w:fill="D9D9D9" w:themeFill="background1" w:themeFillShade="d9" w:val="clear"/>
          </w:tcPr>
          <w:p>
            <w:pPr>
              <w:pStyle w:val="Normal"/>
              <w:spacing w:lineRule="auto" w:line="240" w:before="0" w:after="0"/>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Всего по показателю 3, баллов</w:t>
            </w:r>
          </w:p>
        </w:tc>
        <w:tc>
          <w:tcPr>
            <w:tcW w:w="1559"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56</w:t>
            </w:r>
          </w:p>
        </w:tc>
      </w:tr>
    </w:tbl>
    <w:p>
      <w:pPr>
        <w:pStyle w:val="Normal"/>
        <w:spacing w:lineRule="auto" w:line="240" w:before="0" w:after="0"/>
        <w:jc w:val="center"/>
        <w:rPr>
          <w:rFonts w:ascii="Times New Roman" w:hAnsi="Times New Roman" w:eastAsia="Calibri" w:cs="Times New Roman"/>
          <w:color w:val="000000" w:themeColor="text1"/>
          <w:sz w:val="28"/>
          <w:szCs w:val="28"/>
          <w:lang w:eastAsia="en-US"/>
        </w:rPr>
      </w:pPr>
      <w:r>
        <w:rPr/>
        <w:drawing>
          <wp:inline distT="0" distB="3810" distL="0" distR="5715">
            <wp:extent cx="5937885" cy="3596640"/>
            <wp:effectExtent l="0" t="0" r="0" b="0"/>
            <wp:docPr id="5"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
                    <pic:cNvPicPr>
                      <a:picLocks noChangeAspect="1" noChangeArrowheads="1"/>
                    </pic:cNvPicPr>
                  </pic:nvPicPr>
                  <pic:blipFill>
                    <a:blip r:embed="rId7"/>
                    <a:stretch>
                      <a:fillRect/>
                    </a:stretch>
                  </pic:blipFill>
                  <pic:spPr bwMode="auto">
                    <a:xfrm>
                      <a:off x="0" y="0"/>
                      <a:ext cx="5937885" cy="3596640"/>
                    </a:xfrm>
                    <a:prstGeom prst="rect">
                      <a:avLst/>
                    </a:prstGeom>
                  </pic:spPr>
                </pic:pic>
              </a:graphicData>
            </a:graphic>
          </wp:inline>
        </w:drawing>
      </w:r>
    </w:p>
    <w:p>
      <w:pPr>
        <w:pStyle w:val="Normal"/>
        <w:spacing w:before="0" w:after="0"/>
        <w:jc w:val="center"/>
        <w:rPr>
          <w:rFonts w:ascii="Times New Roman" w:hAnsi="Times New Roman" w:eastAsia="Calibri" w:eastAsiaTheme="minorHAnsi"/>
          <w:color w:val="000000" w:themeColor="text1"/>
          <w:sz w:val="28"/>
          <w:szCs w:val="28"/>
        </w:rPr>
      </w:pPr>
      <w:r>
        <w:rPr>
          <w:rFonts w:eastAsia="Calibri" w:ascii="Times New Roman" w:hAnsi="Times New Roman" w:eastAsiaTheme="minorHAnsi"/>
          <w:color w:val="000000" w:themeColor="text1"/>
          <w:sz w:val="28"/>
          <w:szCs w:val="28"/>
        </w:rPr>
        <w:t>Рисунок 5.1 – Интегральные показатели, характеризующие</w:t>
        <w:br/>
        <w:t>доступность услуг для инвалидов в</w:t>
      </w:r>
      <w:r>
        <w:rPr>
          <w:rFonts w:eastAsia="Calibri" w:cs="Times New Roman" w:ascii="Times New Roman" w:hAnsi="Times New Roman"/>
          <w:color w:val="000000" w:themeColor="text1"/>
          <w:sz w:val="28"/>
          <w:szCs w:val="28"/>
          <w:lang w:eastAsia="en-US"/>
        </w:rPr>
        <w:t xml:space="preserve"> МБУК «</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w:t>
      </w:r>
      <w:r>
        <w:rPr>
          <w:rFonts w:eastAsia="Calibri" w:ascii="Times New Roman" w:hAnsi="Times New Roman" w:eastAsiaTheme="minorHAnsi"/>
          <w:color w:val="000000" w:themeColor="text1"/>
          <w:sz w:val="28"/>
          <w:szCs w:val="28"/>
        </w:rPr>
        <w:t>, баллы</w:t>
      </w:r>
      <w:r>
        <w:br w:type="page"/>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Анализ интегральных показателей в </w:t>
      </w:r>
      <w:r>
        <w:rPr>
          <w:rFonts w:eastAsia="Calibri" w:cs="Times New Roman" w:ascii="Times New Roman" w:hAnsi="Times New Roman"/>
          <w:color w:val="000000" w:themeColor="text1"/>
          <w:sz w:val="28"/>
          <w:szCs w:val="28"/>
          <w:lang w:eastAsia="en-US"/>
        </w:rPr>
        <w:t>МБУК «</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w:t>
      </w:r>
      <w:r>
        <w:rPr>
          <w:rFonts w:cs="Times New Roman" w:ascii="Times New Roman" w:hAnsi="Times New Roman"/>
          <w:color w:val="000000" w:themeColor="text1"/>
          <w:sz w:val="28"/>
          <w:szCs w:val="28"/>
        </w:rPr>
        <w:t xml:space="preserve"> показывает, что в отношении доступности услуг для инвалидов зафиксированные оценки параметров в основном находятся на удовлетворительном уровне:</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по показателю 3.1 – 12 баллов из 30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по показателю 3.2 – 24 балла из 40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по показателю 3.3 – 20,4 балла из 30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i/>
          <w:color w:val="000000" w:themeColor="text1"/>
          <w:sz w:val="28"/>
          <w:szCs w:val="28"/>
        </w:rPr>
        <w:t>Интегральная оценка</w:t>
      </w:r>
      <w:r>
        <w:rPr>
          <w:rFonts w:cs="Times New Roman" w:ascii="Times New Roman" w:hAnsi="Times New Roman"/>
          <w:color w:val="000000" w:themeColor="text1"/>
          <w:sz w:val="28"/>
          <w:szCs w:val="28"/>
        </w:rPr>
        <w:t xml:space="preserve"> по данному набору параметров зафиксирована на уровне 56 баллов из 100 возможных (рисунок 5.1).</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keepNext w:val="true"/>
        <w:keepLines/>
        <w:numPr>
          <w:ilvl w:val="0"/>
          <w:numId w:val="0"/>
        </w:numPr>
        <w:spacing w:before="0" w:after="0"/>
        <w:ind w:hanging="0"/>
        <w:jc w:val="center"/>
        <w:outlineLvl w:val="0"/>
        <w:rPr>
          <w:rFonts w:ascii="Times New Roman" w:hAnsi="Times New Roman" w:eastAsia="Times New Roman" w:cs="Times New Roman"/>
          <w:b/>
          <w:b/>
          <w:bCs/>
          <w:color w:val="000000" w:themeColor="text1"/>
          <w:sz w:val="28"/>
          <w:szCs w:val="28"/>
        </w:rPr>
      </w:pPr>
      <w:bookmarkStart w:id="20" w:name="_Toc58223945"/>
      <w:bookmarkStart w:id="21" w:name="_Toc57800863"/>
      <w:bookmarkStart w:id="22" w:name="_Toc468106516"/>
      <w:bookmarkStart w:id="23" w:name="_Toc455479803"/>
      <w:r>
        <w:rPr>
          <w:rFonts w:eastAsia="Times New Roman" w:cs="Times New Roman" w:ascii="Times New Roman" w:hAnsi="Times New Roman"/>
          <w:b/>
          <w:bCs/>
          <w:color w:val="000000" w:themeColor="text1"/>
          <w:sz w:val="28"/>
          <w:szCs w:val="28"/>
        </w:rPr>
        <w:t xml:space="preserve">6. Показатели доброжелательности и вежливости работников </w:t>
      </w:r>
      <w:bookmarkEnd w:id="23"/>
      <w:r>
        <w:rPr>
          <w:rFonts w:eastAsia="Times New Roman" w:cs="Times New Roman" w:ascii="Times New Roman" w:hAnsi="Times New Roman"/>
          <w:b/>
          <w:bCs/>
          <w:color w:val="000000" w:themeColor="text1"/>
          <w:sz w:val="28"/>
          <w:szCs w:val="28"/>
        </w:rPr>
        <w:t>организаци</w:t>
      </w:r>
      <w:bookmarkEnd w:id="22"/>
      <w:r>
        <w:rPr>
          <w:rFonts w:eastAsia="Times New Roman" w:cs="Times New Roman" w:ascii="Times New Roman" w:hAnsi="Times New Roman"/>
          <w:b/>
          <w:bCs/>
          <w:color w:val="000000" w:themeColor="text1"/>
          <w:sz w:val="28"/>
          <w:szCs w:val="28"/>
        </w:rPr>
        <w:t>и культуры</w:t>
      </w:r>
      <w:bookmarkEnd w:id="20"/>
      <w:bookmarkEnd w:id="21"/>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Анализ результатов восприятия получателями услуг д</w:t>
      </w:r>
      <w:r>
        <w:rPr>
          <w:rFonts w:cs="Times New Roman" w:ascii="Times New Roman" w:hAnsi="Times New Roman"/>
          <w:i/>
          <w:color w:val="000000" w:themeColor="text1"/>
          <w:sz w:val="28"/>
          <w:szCs w:val="28"/>
        </w:rPr>
        <w:t>оброжелательности, вежливости работников</w:t>
      </w:r>
      <w:r>
        <w:rPr>
          <w:rFonts w:cs="Times New Roman" w:ascii="Times New Roman" w:hAnsi="Times New Roman"/>
          <w:color w:val="000000" w:themeColor="text1"/>
          <w:sz w:val="28"/>
          <w:szCs w:val="28"/>
        </w:rPr>
        <w:t xml:space="preserve">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показывает, что респонденты высоко оценивают изучаемые параметры (доля удовлетворенных получателей услуг, средние значения оценки параметров) (таблицы 6.1-6.2):</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w:t>
      </w:r>
      <w:r>
        <w:rPr>
          <w:rFonts w:eastAsia="Calibri" w:cs="Times New Roman" w:ascii="Times New Roman" w:hAnsi="Times New Roman"/>
          <w:color w:val="000000" w:themeColor="text1"/>
          <w:sz w:val="28"/>
          <w:szCs w:val="28"/>
          <w:lang w:val="en-US" w:eastAsia="en-US"/>
        </w:rPr>
        <w:t> </w:t>
      </w:r>
      <w:r>
        <w:rPr>
          <w:rFonts w:eastAsia="Calibri" w:cs="Times New Roman" w:ascii="Times New Roman" w:hAnsi="Times New Roman"/>
          <w:color w:val="000000" w:themeColor="text1"/>
          <w:sz w:val="28"/>
          <w:szCs w:val="28"/>
          <w:lang w:eastAsia="en-US"/>
        </w:rPr>
        <w:t>доброжелательность, вежливость работников организации, обеспечивающих первичный контакт и информирование получателя услуги (оценка удовлетворенности – 98,4%; средняя оценка параметра – 98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w:t>
      </w:r>
      <w:r>
        <w:rPr>
          <w:rFonts w:eastAsia="Calibri" w:cs="Times New Roman" w:ascii="Times New Roman" w:hAnsi="Times New Roman"/>
          <w:color w:val="000000" w:themeColor="text1"/>
          <w:sz w:val="28"/>
          <w:szCs w:val="28"/>
          <w:lang w:val="en-US" w:eastAsia="en-US"/>
        </w:rPr>
        <w:t> </w:t>
      </w:r>
      <w:r>
        <w:rPr>
          <w:rFonts w:eastAsia="Calibri" w:cs="Times New Roman" w:ascii="Times New Roman" w:hAnsi="Times New Roman"/>
          <w:color w:val="000000" w:themeColor="text1"/>
          <w:sz w:val="28"/>
          <w:szCs w:val="28"/>
          <w:lang w:eastAsia="en-US"/>
        </w:rPr>
        <w:t>доброжелательность, вежливость работников организации, обеспечивающих непосредственное оказание услуги при обращении в организацию (оценка удовлетворенности – 98,7%; средняя оценка параметра – 99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w:t>
      </w:r>
      <w:r>
        <w:rPr>
          <w:rFonts w:eastAsia="Calibri" w:cs="Times New Roman" w:ascii="Times New Roman" w:hAnsi="Times New Roman"/>
          <w:color w:val="000000" w:themeColor="text1"/>
          <w:sz w:val="28"/>
          <w:szCs w:val="28"/>
          <w:lang w:val="en-US" w:eastAsia="en-US"/>
        </w:rPr>
        <w:t> </w:t>
      </w:r>
      <w:r>
        <w:rPr>
          <w:rFonts w:eastAsia="Calibri" w:cs="Times New Roman" w:ascii="Times New Roman" w:hAnsi="Times New Roman"/>
          <w:color w:val="000000" w:themeColor="text1"/>
          <w:sz w:val="28"/>
          <w:szCs w:val="28"/>
          <w:lang w:eastAsia="en-US"/>
        </w:rPr>
        <w:t>доброжелательность, вежливость работников организации при использовании дистанционных форм взаимодействия (оценка удовлетворенности – 98,7%; средняя оценка параметра – 99,0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6.1 – Доля получателей услуг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удовлетворенных доброжелательностью и вежливостью</w:t>
        <w:br/>
        <w:t>работников организации, %</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851"/>
        <w:gridCol w:w="7513"/>
        <w:gridCol w:w="992"/>
      </w:tblGrid>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7513"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 xml:space="preserve">Параметры </w:t>
            </w:r>
            <w:r>
              <w:rPr>
                <w:rFonts w:cs="Times New Roman" w:ascii="Times New Roman" w:hAnsi="Times New Roman"/>
                <w:b/>
                <w:color w:val="000000" w:themeColor="text1"/>
                <w:sz w:val="24"/>
                <w:szCs w:val="24"/>
                <w:lang w:val="en-US"/>
              </w:rPr>
              <w:t>/</w:t>
            </w:r>
            <w:r>
              <w:rPr>
                <w:rFonts w:cs="Times New Roman" w:ascii="Times New Roman" w:hAnsi="Times New Roman"/>
                <w:b/>
                <w:color w:val="000000" w:themeColor="text1"/>
                <w:sz w:val="24"/>
                <w:szCs w:val="24"/>
              </w:rPr>
              <w:t xml:space="preserve"> показатели</w:t>
            </w:r>
          </w:p>
        </w:tc>
        <w:tc>
          <w:tcPr>
            <w:tcW w:w="992"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r>
      <w:tr>
        <w:trPr>
          <w:trHeight w:val="20" w:hRule="atLeast"/>
        </w:trPr>
        <w:tc>
          <w:tcPr>
            <w:tcW w:w="851"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w:t>
            </w:r>
          </w:p>
        </w:tc>
        <w:tc>
          <w:tcPr>
            <w:tcW w:w="8505"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Доброжелательность, вежливость работников организации</w:t>
            </w:r>
          </w:p>
        </w:tc>
      </w:tr>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4.1</w:t>
            </w:r>
          </w:p>
        </w:tc>
        <w:tc>
          <w:tcPr>
            <w:tcW w:w="7513"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кассиры и прочее) при непосредственном обращении в организацию</w:t>
            </w:r>
          </w:p>
        </w:tc>
        <w:tc>
          <w:tcPr>
            <w:tcW w:w="992"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98,4</w:t>
            </w:r>
          </w:p>
        </w:tc>
      </w:tr>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4.2</w:t>
            </w:r>
          </w:p>
        </w:tc>
        <w:tc>
          <w:tcPr>
            <w:tcW w:w="7513"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992"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98,7</w:t>
            </w:r>
          </w:p>
        </w:tc>
      </w:tr>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4.3</w:t>
            </w:r>
          </w:p>
        </w:tc>
        <w:tc>
          <w:tcPr>
            <w:tcW w:w="7513"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tc>
        <w:tc>
          <w:tcPr>
            <w:tcW w:w="992" w:type="dxa"/>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98,7</w:t>
            </w:r>
          </w:p>
        </w:tc>
      </w:tr>
    </w:tbl>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6.2 – Средние значения оценки параметров, характеризующих восприятие опрошенными получателями услуг доброжелательности и вежливости работников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баллы</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851"/>
        <w:gridCol w:w="7371"/>
        <w:gridCol w:w="1134"/>
      </w:tblGrid>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7371"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1134"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Баллы</w:t>
            </w:r>
          </w:p>
        </w:tc>
      </w:tr>
      <w:tr>
        <w:trPr>
          <w:trHeight w:val="20" w:hRule="atLeast"/>
        </w:trPr>
        <w:tc>
          <w:tcPr>
            <w:tcW w:w="851"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w:t>
            </w:r>
          </w:p>
        </w:tc>
        <w:tc>
          <w:tcPr>
            <w:tcW w:w="8505" w:type="dxa"/>
            <w:gridSpan w:val="2"/>
            <w:tcBorders/>
            <w:shd w:color="auto" w:fill="D9D9D9" w:themeFill="background1" w:themeFillShade="d9" w:val="clear"/>
            <w:vAlign w:val="bottom"/>
          </w:tcPr>
          <w:p>
            <w:pPr>
              <w:pStyle w:val="Normal"/>
              <w:spacing w:lineRule="auto" w:line="240" w:before="0" w:after="0"/>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Доброжелательность, вежливость работников организации</w:t>
            </w:r>
          </w:p>
        </w:tc>
      </w:tr>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4.1</w:t>
            </w:r>
          </w:p>
        </w:tc>
        <w:tc>
          <w:tcPr>
            <w:tcW w:w="737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кассиры и прочее) при непосредственном обращении в организацию</w:t>
            </w:r>
          </w:p>
        </w:tc>
        <w:tc>
          <w:tcPr>
            <w:tcW w:w="1134"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98</w:t>
            </w:r>
          </w:p>
        </w:tc>
      </w:tr>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4.2</w:t>
            </w:r>
          </w:p>
        </w:tc>
        <w:tc>
          <w:tcPr>
            <w:tcW w:w="737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1134"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99</w:t>
            </w:r>
          </w:p>
        </w:tc>
      </w:tr>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4.3</w:t>
            </w:r>
          </w:p>
        </w:tc>
        <w:tc>
          <w:tcPr>
            <w:tcW w:w="737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tc>
        <w:tc>
          <w:tcPr>
            <w:tcW w:w="1134"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99</w:t>
            </w:r>
          </w:p>
        </w:tc>
      </w:tr>
    </w:tbl>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i/>
          <w:color w:val="000000" w:themeColor="text1"/>
          <w:sz w:val="28"/>
          <w:szCs w:val="28"/>
          <w:lang w:eastAsia="en-US"/>
        </w:rPr>
        <w:t>Интегральные показатели</w:t>
      </w:r>
      <w:r>
        <w:rPr>
          <w:rFonts w:eastAsia="Calibri" w:cs="Times New Roman" w:ascii="Times New Roman" w:hAnsi="Times New Roman"/>
          <w:color w:val="000000" w:themeColor="text1"/>
          <w:sz w:val="28"/>
          <w:szCs w:val="28"/>
          <w:lang w:eastAsia="en-US"/>
        </w:rPr>
        <w:t xml:space="preserve"> восприятия опрошенными получателями услуг доброжелательности и вежливости работников МБУК «</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w:t>
      </w:r>
      <w:r>
        <w:rPr>
          <w:rFonts w:cs="Times New Roman"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представлены в таблице 6.3 и на рисунке 6.1.</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6.3 – Интегральные показатели восприятия опрошенными получателями услуг доброжелательности и вежливости работников</w:t>
        <w:b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баллы</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582"/>
        <w:gridCol w:w="4520"/>
        <w:gridCol w:w="994"/>
        <w:gridCol w:w="1701"/>
        <w:gridCol w:w="1559"/>
      </w:tblGrid>
      <w:tr>
        <w:trPr/>
        <w:tc>
          <w:tcPr>
            <w:tcW w:w="582"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rPr>
            </w:pPr>
            <w:r>
              <w:rPr>
                <w:rFonts w:cs="Times New Roman" w:ascii="Times New Roman" w:hAnsi="Times New Roman"/>
                <w:b/>
                <w:color w:val="000000" w:themeColor="text1"/>
              </w:rPr>
              <w:t>№</w:t>
            </w:r>
          </w:p>
        </w:tc>
        <w:tc>
          <w:tcPr>
            <w:tcW w:w="4520"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rPr>
            </w:pPr>
            <w:r>
              <w:rPr>
                <w:rFonts w:cs="Times New Roman" w:ascii="Times New Roman" w:hAnsi="Times New Roman"/>
                <w:b/>
                <w:color w:val="000000" w:themeColor="text1"/>
              </w:rPr>
              <w:t>Параметры / показатели</w:t>
            </w:r>
          </w:p>
        </w:tc>
        <w:tc>
          <w:tcPr>
            <w:tcW w:w="994"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rPr>
            </w:pPr>
            <w:r>
              <w:rPr>
                <w:rFonts w:cs="Times New Roman" w:ascii="Times New Roman" w:hAnsi="Times New Roman"/>
                <w:b/>
                <w:color w:val="000000" w:themeColor="text1"/>
              </w:rPr>
              <w:t>Баллы</w:t>
            </w:r>
          </w:p>
        </w:tc>
        <w:tc>
          <w:tcPr>
            <w:tcW w:w="1701"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rPr>
            </w:pPr>
            <w:r>
              <w:rPr>
                <w:rFonts w:cs="Times New Roman" w:ascii="Times New Roman" w:hAnsi="Times New Roman"/>
                <w:b/>
                <w:color w:val="000000" w:themeColor="text1"/>
              </w:rPr>
              <w:t>Коэффициент значимости показателя</w:t>
            </w:r>
          </w:p>
        </w:tc>
        <w:tc>
          <w:tcPr>
            <w:tcW w:w="1559"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rPr>
            </w:pPr>
            <w:r>
              <w:rPr>
                <w:rFonts w:cs="Times New Roman" w:ascii="Times New Roman" w:hAnsi="Times New Roman"/>
                <w:b/>
                <w:color w:val="000000" w:themeColor="text1"/>
              </w:rPr>
              <w:t>Значение показателя, баллы</w:t>
            </w:r>
          </w:p>
        </w:tc>
      </w:tr>
      <w:tr>
        <w:trPr/>
        <w:tc>
          <w:tcPr>
            <w:tcW w:w="582" w:type="dxa"/>
            <w:tcBorders/>
            <w:shd w:color="auto" w:fill="D9D9D9" w:themeFill="background1" w:themeFillShade="d9" w:val="clear"/>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4</w:t>
            </w:r>
          </w:p>
        </w:tc>
        <w:tc>
          <w:tcPr>
            <w:tcW w:w="8774" w:type="dxa"/>
            <w:gridSpan w:val="4"/>
            <w:tcBorders/>
            <w:shd w:color="auto" w:fill="D9D9D9" w:themeFill="background1" w:themeFillShade="d9" w:val="clear"/>
          </w:tcPr>
          <w:p>
            <w:pPr>
              <w:pStyle w:val="Normal"/>
              <w:spacing w:lineRule="auto" w:line="240" w:before="0" w:after="0"/>
              <w:jc w:val="both"/>
              <w:rPr>
                <w:rFonts w:ascii="Times New Roman" w:hAnsi="Times New Roman" w:cs="Times New Roman"/>
                <w:color w:val="000000" w:themeColor="text1"/>
              </w:rPr>
            </w:pPr>
            <w:r>
              <w:rPr>
                <w:rFonts w:cs="Times New Roman" w:ascii="Times New Roman" w:hAnsi="Times New Roman"/>
                <w:color w:val="000000" w:themeColor="text1"/>
              </w:rPr>
              <w:t>Доброжелательность, вежливость работников организации</w:t>
            </w:r>
          </w:p>
        </w:tc>
      </w:tr>
      <w:tr>
        <w:trPr/>
        <w:tc>
          <w:tcPr>
            <w:tcW w:w="582" w:type="dxa"/>
            <w:tcBorders/>
            <w:shd w:fill="auto" w:val="clear"/>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4.1</w:t>
            </w:r>
          </w:p>
        </w:tc>
        <w:tc>
          <w:tcPr>
            <w:tcW w:w="4520" w:type="dxa"/>
            <w:tcBorders/>
            <w:shd w:fill="auto" w:val="clear"/>
            <w:vAlign w:val="bottom"/>
          </w:tcPr>
          <w:p>
            <w:pPr>
              <w:pStyle w:val="Normal"/>
              <w:spacing w:lineRule="auto" w:line="240" w:before="0" w:after="0"/>
              <w:jc w:val="both"/>
              <w:rPr>
                <w:rFonts w:ascii="Times New Roman" w:hAnsi="Times New Roman" w:cs="Times New Roman"/>
                <w:color w:val="000000" w:themeColor="text1"/>
              </w:rPr>
            </w:pPr>
            <w:r>
              <w:rPr>
                <w:rFonts w:cs="Times New Roman" w:ascii="Times New Roman" w:hAnsi="Times New Roman"/>
                <w:color w:val="000000" w:themeColor="text1"/>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кассиры и прочее) при непосредственном обращении в организацию</w:t>
            </w:r>
          </w:p>
        </w:tc>
        <w:tc>
          <w:tcPr>
            <w:tcW w:w="994" w:type="dxa"/>
            <w:tcBorders/>
            <w:shd w:fill="auto" w:val="clear"/>
            <w:vAlign w:val="bottom"/>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98</w:t>
            </w:r>
          </w:p>
        </w:tc>
        <w:tc>
          <w:tcPr>
            <w:tcW w:w="1701" w:type="dxa"/>
            <w:tcBorders/>
            <w:shd w:fill="auto" w:val="clear"/>
            <w:vAlign w:val="bottom"/>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0,4</w:t>
            </w:r>
          </w:p>
        </w:tc>
        <w:tc>
          <w:tcPr>
            <w:tcW w:w="1559" w:type="dxa"/>
            <w:tcBorders/>
            <w:shd w:fill="auto" w:val="clear"/>
            <w:vAlign w:val="bottom"/>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39,2</w:t>
            </w:r>
          </w:p>
        </w:tc>
      </w:tr>
      <w:tr>
        <w:trPr/>
        <w:tc>
          <w:tcPr>
            <w:tcW w:w="582" w:type="dxa"/>
            <w:tcBorders/>
            <w:shd w:fill="auto" w:val="clear"/>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4.2</w:t>
            </w:r>
          </w:p>
        </w:tc>
        <w:tc>
          <w:tcPr>
            <w:tcW w:w="4520" w:type="dxa"/>
            <w:tcBorders/>
            <w:shd w:fill="auto" w:val="clear"/>
            <w:vAlign w:val="bottom"/>
          </w:tcPr>
          <w:p>
            <w:pPr>
              <w:pStyle w:val="Normal"/>
              <w:spacing w:lineRule="auto" w:line="240" w:before="0" w:after="0"/>
              <w:jc w:val="both"/>
              <w:rPr>
                <w:rFonts w:ascii="Times New Roman" w:hAnsi="Times New Roman" w:cs="Times New Roman"/>
                <w:color w:val="000000" w:themeColor="text1"/>
              </w:rPr>
            </w:pPr>
            <w:r>
              <w:rPr>
                <w:rFonts w:cs="Times New Roman" w:ascii="Times New Roman" w:hAnsi="Times New Roman"/>
                <w:color w:val="000000" w:themeColor="text1"/>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994" w:type="dxa"/>
            <w:tcBorders/>
            <w:shd w:fill="auto" w:val="clear"/>
            <w:vAlign w:val="bottom"/>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99</w:t>
            </w:r>
          </w:p>
        </w:tc>
        <w:tc>
          <w:tcPr>
            <w:tcW w:w="1701" w:type="dxa"/>
            <w:tcBorders/>
            <w:shd w:fill="auto" w:val="clear"/>
            <w:vAlign w:val="bottom"/>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0,4</w:t>
            </w:r>
          </w:p>
        </w:tc>
        <w:tc>
          <w:tcPr>
            <w:tcW w:w="1559" w:type="dxa"/>
            <w:tcBorders/>
            <w:shd w:fill="auto" w:val="clear"/>
            <w:vAlign w:val="bottom"/>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39,6</w:t>
            </w:r>
          </w:p>
        </w:tc>
      </w:tr>
      <w:tr>
        <w:trPr/>
        <w:tc>
          <w:tcPr>
            <w:tcW w:w="582" w:type="dxa"/>
            <w:tcBorders/>
            <w:shd w:fill="auto" w:val="clear"/>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4.3</w:t>
            </w:r>
          </w:p>
        </w:tc>
        <w:tc>
          <w:tcPr>
            <w:tcW w:w="4520" w:type="dxa"/>
            <w:tcBorders/>
            <w:shd w:fill="auto" w:val="clear"/>
            <w:vAlign w:val="bottom"/>
          </w:tcPr>
          <w:p>
            <w:pPr>
              <w:pStyle w:val="Normal"/>
              <w:spacing w:lineRule="auto" w:line="240" w:before="0" w:after="0"/>
              <w:jc w:val="both"/>
              <w:rPr>
                <w:rFonts w:ascii="Times New Roman" w:hAnsi="Times New Roman" w:cs="Times New Roman"/>
                <w:color w:val="000000" w:themeColor="text1"/>
              </w:rPr>
            </w:pPr>
            <w:r>
              <w:rPr>
                <w:rFonts w:cs="Times New Roman" w:ascii="Times New Roman" w:hAnsi="Times New Roman"/>
                <w:color w:val="000000" w:themeColor="text1"/>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tc>
        <w:tc>
          <w:tcPr>
            <w:tcW w:w="994" w:type="dxa"/>
            <w:tcBorders/>
            <w:shd w:fill="auto" w:val="clear"/>
            <w:vAlign w:val="bottom"/>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99</w:t>
            </w:r>
          </w:p>
        </w:tc>
        <w:tc>
          <w:tcPr>
            <w:tcW w:w="1701" w:type="dxa"/>
            <w:tcBorders/>
            <w:shd w:fill="auto" w:val="clear"/>
            <w:vAlign w:val="bottom"/>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0,2</w:t>
            </w:r>
          </w:p>
        </w:tc>
        <w:tc>
          <w:tcPr>
            <w:tcW w:w="1559" w:type="dxa"/>
            <w:tcBorders/>
            <w:shd w:fill="auto" w:val="clear"/>
            <w:vAlign w:val="bottom"/>
          </w:tcPr>
          <w:p>
            <w:pPr>
              <w:pStyle w:val="Normal"/>
              <w:spacing w:lineRule="auto" w:line="240" w:before="0" w:after="0"/>
              <w:jc w:val="center"/>
              <w:rPr>
                <w:rFonts w:ascii="Times New Roman" w:hAnsi="Times New Roman" w:cs="Times New Roman"/>
                <w:color w:val="000000" w:themeColor="text1"/>
              </w:rPr>
            </w:pPr>
            <w:r>
              <w:rPr>
                <w:rFonts w:cs="Times New Roman" w:ascii="Times New Roman" w:hAnsi="Times New Roman"/>
                <w:color w:val="000000" w:themeColor="text1"/>
              </w:rPr>
              <w:t>19,8</w:t>
            </w:r>
          </w:p>
        </w:tc>
      </w:tr>
      <w:tr>
        <w:trPr/>
        <w:tc>
          <w:tcPr>
            <w:tcW w:w="582"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rPr>
            </w:pPr>
            <w:r>
              <w:rPr>
                <w:rFonts w:cs="Times New Roman" w:ascii="Times New Roman" w:hAnsi="Times New Roman"/>
                <w:b/>
                <w:color w:val="000000" w:themeColor="text1"/>
              </w:rPr>
            </w:r>
          </w:p>
        </w:tc>
        <w:tc>
          <w:tcPr>
            <w:tcW w:w="7215" w:type="dxa"/>
            <w:gridSpan w:val="3"/>
            <w:tcBorders/>
            <w:shd w:color="auto" w:fill="D9D9D9" w:themeFill="background1" w:themeFillShade="d9" w:val="clear"/>
          </w:tcPr>
          <w:p>
            <w:pPr>
              <w:pStyle w:val="Normal"/>
              <w:spacing w:lineRule="auto" w:line="240" w:before="0" w:after="0"/>
              <w:rPr>
                <w:rFonts w:ascii="Times New Roman" w:hAnsi="Times New Roman" w:cs="Times New Roman"/>
                <w:b/>
                <w:b/>
                <w:color w:val="000000" w:themeColor="text1"/>
              </w:rPr>
            </w:pPr>
            <w:r>
              <w:rPr>
                <w:rFonts w:cs="Times New Roman" w:ascii="Times New Roman" w:hAnsi="Times New Roman"/>
                <w:b/>
                <w:color w:val="000000" w:themeColor="text1"/>
              </w:rPr>
              <w:t>Всего по показателю 4, баллов</w:t>
            </w:r>
          </w:p>
        </w:tc>
        <w:tc>
          <w:tcPr>
            <w:tcW w:w="1559"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rPr>
            </w:pPr>
            <w:r>
              <w:rPr>
                <w:rFonts w:cs="Times New Roman" w:ascii="Times New Roman" w:hAnsi="Times New Roman"/>
                <w:b/>
                <w:color w:val="000000" w:themeColor="text1"/>
              </w:rPr>
              <w:t>99</w:t>
            </w:r>
          </w:p>
        </w:tc>
      </w:tr>
    </w:tbl>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lineRule="auto" w:line="240" w:before="0" w:after="0"/>
        <w:jc w:val="center"/>
        <w:rPr>
          <w:rFonts w:ascii="Times New Roman" w:hAnsi="Times New Roman" w:eastAsia="Calibri" w:cs="Times New Roman"/>
          <w:color w:val="000000" w:themeColor="text1"/>
          <w:sz w:val="28"/>
          <w:szCs w:val="28"/>
          <w:lang w:eastAsia="en-US"/>
        </w:rPr>
      </w:pPr>
      <w:r>
        <w:rPr/>
        <w:drawing>
          <wp:inline distT="0" distB="3810" distL="0" distR="0">
            <wp:extent cx="5944235" cy="3596640"/>
            <wp:effectExtent l="0" t="0" r="0" b="0"/>
            <wp:docPr id="6"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descr=""/>
                    <pic:cNvPicPr>
                      <a:picLocks noChangeAspect="1" noChangeArrowheads="1"/>
                    </pic:cNvPicPr>
                  </pic:nvPicPr>
                  <pic:blipFill>
                    <a:blip r:embed="rId8"/>
                    <a:stretch>
                      <a:fillRect/>
                    </a:stretch>
                  </pic:blipFill>
                  <pic:spPr bwMode="auto">
                    <a:xfrm>
                      <a:off x="0" y="0"/>
                      <a:ext cx="5944235" cy="3596640"/>
                    </a:xfrm>
                    <a:prstGeom prst="rect">
                      <a:avLst/>
                    </a:prstGeom>
                  </pic:spPr>
                </pic:pic>
              </a:graphicData>
            </a:graphic>
          </wp:inline>
        </w:drawing>
      </w:r>
    </w:p>
    <w:p>
      <w:pPr>
        <w:pStyle w:val="Normal"/>
        <w:spacing w:before="0" w:after="0"/>
        <w:jc w:val="center"/>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Рисунок 6.1 – Интегральные показатели восприятия опрошенными получателями услуг доброжелательности и вежливости работников</w:t>
        <w:br/>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баллы</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xml:space="preserve">Анализ интегральных показателей </w:t>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показывает, что в отношении доброжелательности и вежливости работников зафиксированные оценки параметров находятся на высоком уровне:</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4.1 – 39,2 балла из 40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4.2 – 39,6 балла из 40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4.3 – 19,8 балла из 20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eastAsiaTheme="minorHAnsi"/>
          <w:color w:val="000000" w:themeColor="text1"/>
          <w:sz w:val="28"/>
          <w:szCs w:val="28"/>
          <w:lang w:eastAsia="en-US"/>
        </w:rPr>
        <w:t xml:space="preserve">Таким образом, </w:t>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eastAsiaTheme="minorHAnsi"/>
          <w:color w:val="000000" w:themeColor="text1"/>
          <w:sz w:val="28"/>
          <w:szCs w:val="28"/>
          <w:lang w:eastAsia="en-US"/>
        </w:rPr>
        <w:t xml:space="preserve">показало отличный результат по показателям данного раздела – </w:t>
      </w:r>
      <w:r>
        <w:rPr>
          <w:rFonts w:cs="Times New Roman" w:ascii="Times New Roman" w:hAnsi="Times New Roman"/>
          <w:color w:val="000000" w:themeColor="text1"/>
          <w:sz w:val="28"/>
          <w:szCs w:val="28"/>
        </w:rPr>
        <w:t xml:space="preserve">99 баллов из 100 возможных </w:t>
      </w:r>
      <w:r>
        <w:rPr>
          <w:rFonts w:eastAsia="Calibri" w:cs="Times New Roman" w:ascii="Times New Roman" w:hAnsi="Times New Roman"/>
          <w:color w:val="000000" w:themeColor="text1"/>
          <w:sz w:val="28"/>
          <w:szCs w:val="28"/>
          <w:lang w:eastAsia="en-US"/>
        </w:rPr>
        <w:t>(таблица 6.3, рисунок 6.1).</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before="0" w:after="0"/>
        <w:jc w:val="center"/>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r>
        <w:br w:type="page"/>
      </w:r>
    </w:p>
    <w:p>
      <w:pPr>
        <w:pStyle w:val="Normal"/>
        <w:keepNext w:val="true"/>
        <w:keepLines/>
        <w:numPr>
          <w:ilvl w:val="0"/>
          <w:numId w:val="0"/>
        </w:numPr>
        <w:spacing w:before="0" w:after="0"/>
        <w:ind w:hanging="0"/>
        <w:jc w:val="center"/>
        <w:outlineLvl w:val="0"/>
        <w:rPr>
          <w:rFonts w:ascii="Times New Roman" w:hAnsi="Times New Roman" w:eastAsia="Times New Roman" w:cs="Times New Roman"/>
          <w:b/>
          <w:b/>
          <w:bCs/>
          <w:color w:val="000000" w:themeColor="text1"/>
          <w:sz w:val="28"/>
          <w:szCs w:val="28"/>
        </w:rPr>
      </w:pPr>
      <w:bookmarkStart w:id="24" w:name="_Toc58223946"/>
      <w:bookmarkStart w:id="25" w:name="_Toc57800864"/>
      <w:bookmarkStart w:id="26" w:name="_Toc468106517"/>
      <w:bookmarkStart w:id="27" w:name="_Toc455479804"/>
      <w:r>
        <w:rPr>
          <w:rFonts w:eastAsia="Times New Roman" w:cs="Times New Roman" w:ascii="Times New Roman" w:hAnsi="Times New Roman"/>
          <w:b/>
          <w:bCs/>
          <w:color w:val="000000" w:themeColor="text1"/>
          <w:sz w:val="28"/>
          <w:szCs w:val="28"/>
        </w:rPr>
        <w:t>7.</w:t>
      </w:r>
      <w:r>
        <w:rPr>
          <w:rFonts w:eastAsia="Times New Roman" w:cs="Times New Roman" w:ascii="Times New Roman" w:hAnsi="Times New Roman"/>
          <w:b/>
          <w:bCs/>
          <w:color w:val="000000" w:themeColor="text1"/>
          <w:sz w:val="28"/>
          <w:szCs w:val="28"/>
          <w:lang w:val="en-US"/>
        </w:rPr>
        <w:t> </w:t>
      </w:r>
      <w:r>
        <w:rPr>
          <w:rFonts w:eastAsia="Times New Roman" w:cs="Times New Roman" w:ascii="Times New Roman" w:hAnsi="Times New Roman"/>
          <w:b/>
          <w:bCs/>
          <w:color w:val="000000" w:themeColor="text1"/>
          <w:sz w:val="28"/>
          <w:szCs w:val="28"/>
        </w:rPr>
        <w:t xml:space="preserve">Показатели </w:t>
      </w:r>
      <w:bookmarkEnd w:id="26"/>
      <w:bookmarkEnd w:id="27"/>
      <w:r>
        <w:rPr>
          <w:rFonts w:eastAsia="Times New Roman" w:cs="Times New Roman" w:ascii="Times New Roman" w:hAnsi="Times New Roman"/>
          <w:b/>
          <w:bCs/>
          <w:color w:val="000000" w:themeColor="text1"/>
          <w:sz w:val="28"/>
          <w:szCs w:val="28"/>
        </w:rPr>
        <w:t>удовлетворенности условиями оказания услуг, предоставляемых организацией культуры</w:t>
      </w:r>
      <w:bookmarkEnd w:id="24"/>
      <w:bookmarkEnd w:id="25"/>
    </w:p>
    <w:p>
      <w:pPr>
        <w:pStyle w:val="Normal"/>
        <w:spacing w:lineRule="auto" w:line="24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Результаты опроса по разделу «</w:t>
      </w:r>
      <w:r>
        <w:rPr>
          <w:rFonts w:cs="Times New Roman" w:ascii="Times New Roman" w:hAnsi="Times New Roman"/>
          <w:i/>
          <w:color w:val="000000" w:themeColor="text1"/>
          <w:sz w:val="28"/>
          <w:szCs w:val="28"/>
        </w:rPr>
        <w:t>удовлетворенность условиями оказания услуг</w:t>
      </w:r>
      <w:r>
        <w:rPr>
          <w:rFonts w:cs="Times New Roman" w:ascii="Times New Roman" w:hAnsi="Times New Roman"/>
          <w:color w:val="000000" w:themeColor="text1"/>
          <w:sz w:val="28"/>
          <w:szCs w:val="28"/>
        </w:rPr>
        <w:t>» 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показывают, что респонденты высоко оценивают изучаемые параметры (доля удовлетворенных получателей услуг, средние значения оценки параметров) (таблицы 7.1-7.3):</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готовность рекомендовать организацию родственникам и знакомым (оценка удовлетворенности – 96,8%; средняя оценка параметра – 97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w:t>
      </w:r>
      <w:r>
        <w:rPr>
          <w:rFonts w:eastAsia="Calibri" w:cs="Times New Roman" w:ascii="Times New Roman" w:hAnsi="Times New Roman"/>
          <w:color w:val="000000" w:themeColor="text1"/>
          <w:sz w:val="28"/>
          <w:szCs w:val="28"/>
          <w:lang w:val="en-US" w:eastAsia="en-US"/>
        </w:rPr>
        <w:t> </w:t>
      </w:r>
      <w:r>
        <w:rPr>
          <w:rFonts w:eastAsia="Calibri" w:cs="Times New Roman" w:ascii="Times New Roman" w:hAnsi="Times New Roman"/>
          <w:color w:val="000000" w:themeColor="text1"/>
          <w:sz w:val="28"/>
          <w:szCs w:val="28"/>
          <w:lang w:eastAsia="en-US"/>
        </w:rPr>
        <w:t>удовлетворенность графиком работы организации (оценка удовлетворенности – 97,9%; средняя оценка параметра – 98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в целом условиями оказания услуг в организации (оценка удовлетворенности – 98,1%; средняя оценка параметра – 98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7.1 – Доля получателей услуг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удовлетворенных условиями оказания услуг, %</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851"/>
        <w:gridCol w:w="7513"/>
        <w:gridCol w:w="992"/>
      </w:tblGrid>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7513"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992"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r>
      <w:tr>
        <w:trPr>
          <w:trHeight w:val="20" w:hRule="atLeast"/>
        </w:trPr>
        <w:tc>
          <w:tcPr>
            <w:tcW w:w="851"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w:t>
            </w:r>
          </w:p>
        </w:tc>
        <w:tc>
          <w:tcPr>
            <w:tcW w:w="8505"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Удовлетворенность условиями оказания услуг</w:t>
            </w:r>
          </w:p>
        </w:tc>
      </w:tr>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5.1</w:t>
            </w:r>
          </w:p>
        </w:tc>
        <w:tc>
          <w:tcPr>
            <w:tcW w:w="7513"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которые готовы рекомендовать организацию родственникам и знакомым</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96,8</w:t>
            </w:r>
          </w:p>
        </w:tc>
      </w:tr>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5.2</w:t>
            </w:r>
          </w:p>
        </w:tc>
        <w:tc>
          <w:tcPr>
            <w:tcW w:w="7513"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графиком работы организации</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lang w:val="en-US"/>
              </w:rPr>
            </w:pPr>
            <w:r>
              <w:rPr>
                <w:rFonts w:cs="Times New Roman" w:ascii="Times New Roman" w:hAnsi="Times New Roman"/>
                <w:color w:val="000000" w:themeColor="text1"/>
                <w:sz w:val="24"/>
                <w:szCs w:val="24"/>
              </w:rPr>
              <w:t>97,9</w:t>
            </w:r>
          </w:p>
        </w:tc>
      </w:tr>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5.3</w:t>
            </w:r>
          </w:p>
        </w:tc>
        <w:tc>
          <w:tcPr>
            <w:tcW w:w="7513"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в целом условиями оказания услуг в организации</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98,1</w:t>
            </w:r>
          </w:p>
        </w:tc>
      </w:tr>
    </w:tbl>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7.2 – Средние значения оценки параметров, характеризующих удовлетворенность получателей услуг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условиями оказания услуг, баллы</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851"/>
        <w:gridCol w:w="7371"/>
        <w:gridCol w:w="1134"/>
      </w:tblGrid>
      <w:tr>
        <w:trPr>
          <w:trHeight w:val="20" w:hRule="atLeast"/>
        </w:trPr>
        <w:tc>
          <w:tcPr>
            <w:tcW w:w="851"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7371"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1134" w:type="dxa"/>
            <w:tcBorders/>
            <w:shd w:fill="auto"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Баллы</w:t>
            </w:r>
          </w:p>
        </w:tc>
      </w:tr>
      <w:tr>
        <w:trPr/>
        <w:tc>
          <w:tcPr>
            <w:tcW w:w="851" w:type="dxa"/>
            <w:tcBorders/>
            <w:shd w:color="auto" w:fill="D9D9D9" w:themeFill="background1" w:themeFillShade="d9" w:val="clear"/>
            <w:vAlign w:val="cente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w:t>
            </w:r>
          </w:p>
        </w:tc>
        <w:tc>
          <w:tcPr>
            <w:tcW w:w="8505" w:type="dxa"/>
            <w:gridSpan w:val="2"/>
            <w:tcBorders/>
            <w:shd w:color="auto" w:fill="D9D9D9" w:themeFill="background1" w:themeFillShade="d9"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Удовлетворенность условиями оказания услуг</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5.1</w:t>
            </w:r>
          </w:p>
        </w:tc>
        <w:tc>
          <w:tcPr>
            <w:tcW w:w="737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которые готовы рекомендовать организацию родственникам и знакомым</w:t>
            </w:r>
          </w:p>
        </w:tc>
        <w:tc>
          <w:tcPr>
            <w:tcW w:w="1134"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97</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5.2</w:t>
            </w:r>
          </w:p>
        </w:tc>
        <w:tc>
          <w:tcPr>
            <w:tcW w:w="737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графиком работы организации</w:t>
            </w:r>
          </w:p>
        </w:tc>
        <w:tc>
          <w:tcPr>
            <w:tcW w:w="1134"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lang w:val="en-US"/>
              </w:rPr>
            </w:pPr>
            <w:r>
              <w:rPr>
                <w:rFonts w:cs="Times New Roman" w:ascii="Times New Roman" w:hAnsi="Times New Roman"/>
                <w:color w:val="000000" w:themeColor="text1"/>
                <w:sz w:val="24"/>
                <w:szCs w:val="24"/>
              </w:rPr>
              <w:t>98</w:t>
            </w:r>
          </w:p>
        </w:tc>
      </w:tr>
      <w:tr>
        <w:trPr/>
        <w:tc>
          <w:tcPr>
            <w:tcW w:w="851"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5.3</w:t>
            </w:r>
          </w:p>
        </w:tc>
        <w:tc>
          <w:tcPr>
            <w:tcW w:w="7371"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в целом условиями оказания услуг в организации</w:t>
            </w:r>
          </w:p>
        </w:tc>
        <w:tc>
          <w:tcPr>
            <w:tcW w:w="1134"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98</w:t>
            </w:r>
          </w:p>
        </w:tc>
      </w:tr>
    </w:tbl>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before="0" w:after="0"/>
        <w:jc w:val="center"/>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Таблица 7.3 – Распределение ответов групп респондентов на вопрос</w:t>
        <w:br/>
        <w:t>«Готовы ли Вы рекомендовать эту организацию культуры</w:t>
        <w:br/>
        <w:t>своим родственникам и знакомым?», %</w:t>
      </w:r>
    </w:p>
    <w:tbl>
      <w:tblPr>
        <w:tblW w:w="9356" w:type="dxa"/>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622"/>
        <w:gridCol w:w="1927"/>
        <w:gridCol w:w="1701"/>
        <w:gridCol w:w="997"/>
        <w:gridCol w:w="1276"/>
        <w:gridCol w:w="1134"/>
        <w:gridCol w:w="1698"/>
      </w:tblGrid>
      <w:tr>
        <w:trPr>
          <w:trHeight w:val="651" w:hRule="atLeast"/>
        </w:trPr>
        <w:tc>
          <w:tcPr>
            <w:tcW w:w="6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color w:val="000000" w:themeColor="text1"/>
                <w:sz w:val="24"/>
                <w:szCs w:val="24"/>
              </w:rPr>
            </w:pPr>
            <w:r>
              <w:rPr>
                <w:rFonts w:eastAsia="Times New Roman" w:cs="Times New Roman" w:ascii="Times New Roman" w:hAnsi="Times New Roman"/>
                <w:b/>
                <w:color w:val="000000" w:themeColor="text1"/>
                <w:sz w:val="24"/>
                <w:szCs w:val="24"/>
              </w:rPr>
              <w:t>№</w:t>
            </w:r>
          </w:p>
        </w:tc>
        <w:tc>
          <w:tcPr>
            <w:tcW w:w="19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color w:val="000000" w:themeColor="text1"/>
                <w:sz w:val="24"/>
                <w:szCs w:val="24"/>
              </w:rPr>
            </w:pPr>
            <w:r>
              <w:rPr>
                <w:rFonts w:eastAsia="Times New Roman" w:cs="Times New Roman" w:ascii="Times New Roman" w:hAnsi="Times New Roman"/>
                <w:b/>
                <w:bCs/>
                <w:color w:val="000000" w:themeColor="text1"/>
                <w:sz w:val="24"/>
                <w:szCs w:val="24"/>
              </w:rPr>
              <w:t>Организация культуры</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Определенно готов</w:t>
            </w:r>
          </w:p>
        </w:tc>
        <w:tc>
          <w:tcPr>
            <w:tcW w:w="9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color w:val="000000" w:themeColor="text1"/>
                <w:sz w:val="24"/>
                <w:szCs w:val="24"/>
              </w:rPr>
            </w:pPr>
            <w:r>
              <w:rPr>
                <w:rFonts w:eastAsia="Calibri" w:cs="Times New Roman" w:ascii="Times New Roman" w:hAnsi="Times New Roman"/>
                <w:b/>
                <w:color w:val="000000" w:themeColor="text1"/>
                <w:sz w:val="24"/>
                <w:szCs w:val="24"/>
                <w:lang w:eastAsia="en-US"/>
              </w:rPr>
              <w:t>Скорее готов</w:t>
            </w:r>
          </w:p>
        </w:tc>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Скорее не готов</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Точно не готов</w:t>
            </w:r>
          </w:p>
        </w:tc>
        <w:tc>
          <w:tcPr>
            <w:tcW w:w="16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Затрудняюсь ответить</w:t>
            </w:r>
          </w:p>
        </w:tc>
      </w:tr>
      <w:tr>
        <w:trPr>
          <w:trHeight w:val="20" w:hRule="atLeast"/>
        </w:trPr>
        <w:tc>
          <w:tcPr>
            <w:tcW w:w="6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w:t>
            </w:r>
          </w:p>
        </w:tc>
        <w:tc>
          <w:tcPr>
            <w:tcW w:w="19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tabs>
                <w:tab w:val="left" w:pos="6237" w:leader="none"/>
              </w:tabs>
              <w:spacing w:lineRule="auto" w:line="240" w:before="0" w:after="0"/>
              <w:rPr>
                <w:rFonts w:ascii="Times New Roman" w:hAnsi="Times New Roman" w:eastAsia="Times New Roman" w:cs="Times New Roman"/>
                <w:color w:val="000000" w:themeColor="text1"/>
                <w:sz w:val="24"/>
                <w:szCs w:val="24"/>
              </w:rPr>
            </w:pPr>
            <w:r>
              <w:rPr>
                <w:rFonts w:cs="Times New Roman" w:ascii="Times New Roman" w:hAnsi="Times New Roman"/>
                <w:color w:val="000000" w:themeColor="text1"/>
                <w:sz w:val="24"/>
                <w:szCs w:val="24"/>
              </w:rPr>
              <w:t>ССДК</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eastAsia="Times New Roman" w:cs="Times New Roman" w:ascii="Times New Roman" w:hAnsi="Times New Roman"/>
                <w:color w:val="000000" w:themeColor="text1"/>
                <w:sz w:val="24"/>
                <w:szCs w:val="24"/>
              </w:rPr>
              <w:t>89,0</w:t>
            </w:r>
          </w:p>
        </w:tc>
        <w:tc>
          <w:tcPr>
            <w:tcW w:w="9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eastAsia="Times New Roman" w:cs="Times New Roman" w:ascii="Times New Roman" w:hAnsi="Times New Roman"/>
                <w:color w:val="000000" w:themeColor="text1"/>
                <w:sz w:val="24"/>
                <w:szCs w:val="24"/>
              </w:rPr>
              <w:t>7,8</w:t>
            </w:r>
          </w:p>
        </w:tc>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eastAsia="Times New Roman" w:cs="Times New Roman" w:ascii="Times New Roman" w:hAnsi="Times New Roman"/>
                <w:color w:val="000000" w:themeColor="text1"/>
                <w:sz w:val="24"/>
                <w:szCs w:val="24"/>
              </w:rPr>
              <w:t>0,2</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eastAsia="Times New Roman" w:cs="Times New Roman" w:ascii="Times New Roman" w:hAnsi="Times New Roman"/>
                <w:color w:val="000000" w:themeColor="text1"/>
                <w:sz w:val="24"/>
                <w:szCs w:val="24"/>
              </w:rPr>
              <w:t>1,9</w:t>
            </w:r>
          </w:p>
        </w:tc>
        <w:tc>
          <w:tcPr>
            <w:tcW w:w="16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eastAsia="Times New Roman" w:cs="Times New Roman" w:ascii="Times New Roman" w:hAnsi="Times New Roman"/>
                <w:color w:val="000000" w:themeColor="text1"/>
                <w:sz w:val="24"/>
                <w:szCs w:val="24"/>
              </w:rPr>
              <w:t>1,1</w:t>
            </w:r>
          </w:p>
        </w:tc>
      </w:tr>
    </w:tbl>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i/>
          <w:color w:val="000000" w:themeColor="text1"/>
          <w:sz w:val="28"/>
          <w:szCs w:val="28"/>
          <w:lang w:eastAsia="en-US"/>
        </w:rPr>
        <w:t>Интегральные показатели,</w:t>
      </w:r>
      <w:r>
        <w:rPr>
          <w:color w:val="000000" w:themeColor="text1"/>
        </w:rPr>
        <w:t xml:space="preserve"> </w:t>
      </w:r>
      <w:r>
        <w:rPr>
          <w:rFonts w:eastAsia="Calibri" w:cs="Times New Roman" w:ascii="Times New Roman" w:hAnsi="Times New Roman"/>
          <w:color w:val="000000" w:themeColor="text1"/>
          <w:sz w:val="28"/>
          <w:szCs w:val="28"/>
          <w:lang w:eastAsia="en-US"/>
        </w:rPr>
        <w:t xml:space="preserve">характеризующие удовлетворенность получателей услуг </w:t>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условиями оказания услуг,</w:t>
      </w:r>
      <w:r>
        <w:rPr>
          <w:rFonts w:cs="Times New Roman" w:ascii="Times New Roman" w:hAnsi="Times New Roman"/>
          <w:color w:val="000000" w:themeColor="text1"/>
          <w:sz w:val="28"/>
          <w:szCs w:val="28"/>
        </w:rPr>
        <w:t xml:space="preserve"> представлены в таблице 7.4 и на рисунке 7.1.</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Таблица 7.4 – Интегральные показатели, характеризующие удовлетворенность получателей услуг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условиями оказания услуг</w:t>
      </w:r>
    </w:p>
    <w:tbl>
      <w:tblPr>
        <w:tblStyle w:val="aa"/>
        <w:tblW w:w="9356" w:type="dxa"/>
        <w:jc w:val="left"/>
        <w:tblInd w:w="108" w:type="dxa"/>
        <w:tblCellMar>
          <w:top w:w="0" w:type="dxa"/>
          <w:left w:w="108" w:type="dxa"/>
          <w:bottom w:w="0" w:type="dxa"/>
          <w:right w:w="108" w:type="dxa"/>
        </w:tblCellMar>
        <w:tblLook w:firstRow="1" w:noVBand="1" w:lastRow="0" w:firstColumn="1" w:lastColumn="0" w:noHBand="0" w:val="04a0"/>
      </w:tblPr>
      <w:tblGrid>
        <w:gridCol w:w="582"/>
        <w:gridCol w:w="4379"/>
        <w:gridCol w:w="992"/>
        <w:gridCol w:w="1843"/>
        <w:gridCol w:w="1"/>
        <w:gridCol w:w="1559"/>
      </w:tblGrid>
      <w:tr>
        <w:trPr/>
        <w:tc>
          <w:tcPr>
            <w:tcW w:w="582"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4379"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992"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Баллы</w:t>
            </w:r>
          </w:p>
        </w:tc>
        <w:tc>
          <w:tcPr>
            <w:tcW w:w="1843"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Коэффициент значимости показателя</w:t>
            </w:r>
          </w:p>
        </w:tc>
        <w:tc>
          <w:tcPr>
            <w:tcW w:w="1560" w:type="dxa"/>
            <w:gridSpan w:val="2"/>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Значение показателя, баллы</w:t>
            </w:r>
          </w:p>
        </w:tc>
      </w:tr>
      <w:tr>
        <w:trPr/>
        <w:tc>
          <w:tcPr>
            <w:tcW w:w="582" w:type="dxa"/>
            <w:tcBorders/>
            <w:shd w:color="auto" w:fill="D9D9D9" w:themeFill="background1" w:themeFillShade="d9"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w:t>
            </w:r>
          </w:p>
        </w:tc>
        <w:tc>
          <w:tcPr>
            <w:tcW w:w="8774" w:type="dxa"/>
            <w:gridSpan w:val="5"/>
            <w:tcBorders/>
            <w:shd w:color="auto" w:fill="D9D9D9" w:themeFill="background1" w:themeFillShade="d9"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Удовлетворенность условиями оказания услуг</w:t>
            </w:r>
          </w:p>
        </w:tc>
      </w:tr>
      <w:tr>
        <w:trPr/>
        <w:tc>
          <w:tcPr>
            <w:tcW w:w="582"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5.1</w:t>
            </w:r>
          </w:p>
        </w:tc>
        <w:tc>
          <w:tcPr>
            <w:tcW w:w="4379"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которые готовы рекомендовать организацию родственникам и знакомым</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97</w:t>
            </w:r>
          </w:p>
        </w:tc>
        <w:tc>
          <w:tcPr>
            <w:tcW w:w="1843"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0,3</w:t>
            </w:r>
          </w:p>
        </w:tc>
        <w:tc>
          <w:tcPr>
            <w:tcW w:w="1560" w:type="dxa"/>
            <w:gridSpan w:val="2"/>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29,1</w:t>
            </w:r>
          </w:p>
        </w:tc>
      </w:tr>
      <w:tr>
        <w:trPr/>
        <w:tc>
          <w:tcPr>
            <w:tcW w:w="582"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5.2</w:t>
            </w:r>
          </w:p>
        </w:tc>
        <w:tc>
          <w:tcPr>
            <w:tcW w:w="4379"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графиком работы организации</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lang w:val="en-US"/>
              </w:rPr>
            </w:pPr>
            <w:r>
              <w:rPr>
                <w:rFonts w:cs="Times New Roman" w:ascii="Times New Roman" w:hAnsi="Times New Roman"/>
                <w:color w:val="000000" w:themeColor="text1"/>
                <w:sz w:val="24"/>
                <w:szCs w:val="24"/>
              </w:rPr>
              <w:t>98</w:t>
            </w:r>
          </w:p>
        </w:tc>
        <w:tc>
          <w:tcPr>
            <w:tcW w:w="1843"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0,2</w:t>
            </w:r>
          </w:p>
        </w:tc>
        <w:tc>
          <w:tcPr>
            <w:tcW w:w="1560" w:type="dxa"/>
            <w:gridSpan w:val="2"/>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19,6</w:t>
            </w:r>
          </w:p>
        </w:tc>
      </w:tr>
      <w:tr>
        <w:trPr/>
        <w:tc>
          <w:tcPr>
            <w:tcW w:w="582"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5.3</w:t>
            </w:r>
          </w:p>
        </w:tc>
        <w:tc>
          <w:tcPr>
            <w:tcW w:w="4379"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в целом условиями оказания услуг в организации</w:t>
            </w:r>
          </w:p>
        </w:tc>
        <w:tc>
          <w:tcPr>
            <w:tcW w:w="992"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98</w:t>
            </w:r>
          </w:p>
        </w:tc>
        <w:tc>
          <w:tcPr>
            <w:tcW w:w="1843"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0,5</w:t>
            </w:r>
          </w:p>
        </w:tc>
        <w:tc>
          <w:tcPr>
            <w:tcW w:w="1560" w:type="dxa"/>
            <w:gridSpan w:val="2"/>
            <w:tcBorders/>
            <w:shd w:fill="auto" w:val="clear"/>
            <w:vAlign w:val="bottom"/>
          </w:tcPr>
          <w:p>
            <w:pPr>
              <w:pStyle w:val="Normal"/>
              <w:spacing w:lineRule="auto" w:line="240" w:before="0" w:after="0"/>
              <w:jc w:val="center"/>
              <w:rPr>
                <w:rFonts w:ascii="Times New Roman" w:hAnsi="Times New Roman" w:cs="Times New Roman"/>
                <w:bCs/>
                <w:color w:val="000000" w:themeColor="text1"/>
                <w:sz w:val="24"/>
                <w:szCs w:val="24"/>
              </w:rPr>
            </w:pPr>
            <w:r>
              <w:rPr>
                <w:rFonts w:cs="Times New Roman" w:ascii="Times New Roman" w:hAnsi="Times New Roman"/>
                <w:bCs/>
                <w:color w:val="000000" w:themeColor="text1"/>
                <w:sz w:val="24"/>
                <w:szCs w:val="24"/>
              </w:rPr>
              <w:t>49,0</w:t>
            </w:r>
          </w:p>
        </w:tc>
      </w:tr>
      <w:tr>
        <w:trPr/>
        <w:tc>
          <w:tcPr>
            <w:tcW w:w="582"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7215" w:type="dxa"/>
            <w:gridSpan w:val="4"/>
            <w:tcBorders/>
            <w:shd w:color="auto" w:fill="D9D9D9" w:themeFill="background1" w:themeFillShade="d9" w:val="clear"/>
          </w:tcPr>
          <w:p>
            <w:pPr>
              <w:pStyle w:val="Normal"/>
              <w:spacing w:lineRule="auto" w:line="240" w:before="0" w:after="0"/>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Всего по показателю 5, баллов</w:t>
            </w:r>
          </w:p>
        </w:tc>
        <w:tc>
          <w:tcPr>
            <w:tcW w:w="1559"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98</w:t>
            </w:r>
          </w:p>
        </w:tc>
      </w:tr>
    </w:tbl>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lineRule="auto" w:line="240" w:before="0" w:after="0"/>
        <w:jc w:val="center"/>
        <w:rPr>
          <w:rFonts w:ascii="Times New Roman" w:hAnsi="Times New Roman" w:eastAsia="Calibri" w:cs="Times New Roman"/>
          <w:color w:val="000000" w:themeColor="text1"/>
          <w:sz w:val="28"/>
          <w:szCs w:val="28"/>
          <w:lang w:eastAsia="en-US"/>
        </w:rPr>
      </w:pPr>
      <w:r>
        <w:rPr/>
        <w:drawing>
          <wp:inline distT="0" distB="0" distL="0" distR="5715">
            <wp:extent cx="5937885" cy="3602990"/>
            <wp:effectExtent l="0" t="0" r="0" b="0"/>
            <wp:docPr id="7"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descr=""/>
                    <pic:cNvPicPr>
                      <a:picLocks noChangeAspect="1" noChangeArrowheads="1"/>
                    </pic:cNvPicPr>
                  </pic:nvPicPr>
                  <pic:blipFill>
                    <a:blip r:embed="rId9"/>
                    <a:stretch>
                      <a:fillRect/>
                    </a:stretch>
                  </pic:blipFill>
                  <pic:spPr bwMode="auto">
                    <a:xfrm>
                      <a:off x="0" y="0"/>
                      <a:ext cx="5937885" cy="3602990"/>
                    </a:xfrm>
                    <a:prstGeom prst="rect">
                      <a:avLst/>
                    </a:prstGeom>
                  </pic:spPr>
                </pic:pic>
              </a:graphicData>
            </a:graphic>
          </wp:inline>
        </w:drawing>
      </w:r>
    </w:p>
    <w:p>
      <w:pPr>
        <w:pStyle w:val="Normal"/>
        <w:spacing w:before="0" w:after="0"/>
        <w:jc w:val="center"/>
        <w:rPr>
          <w:rFonts w:ascii="Times New Roman" w:hAnsi="Times New Roman" w:cs="Times New Roman"/>
          <w:color w:val="000000" w:themeColor="text1"/>
          <w:sz w:val="28"/>
          <w:szCs w:val="28"/>
        </w:rPr>
      </w:pPr>
      <w:r>
        <w:rPr>
          <w:rFonts w:eastAsia="Calibri" w:cs="Times New Roman" w:ascii="Times New Roman" w:hAnsi="Times New Roman"/>
          <w:color w:val="000000" w:themeColor="text1"/>
          <w:sz w:val="28"/>
          <w:szCs w:val="28"/>
          <w:lang w:eastAsia="en-US"/>
        </w:rPr>
        <w:t xml:space="preserve">Рисунок 7.1 – Интегральные показатели, характеризующие удовлетворенность получателей услуг </w:t>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условиями оказания услуг, баллы</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Анализ интегральных показателей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r>
        <w:rPr>
          <w:rFonts w:eastAsia="Calibri" w:cs="Times New Roman" w:ascii="Times New Roman" w:hAnsi="Times New Roman"/>
          <w:color w:val="000000" w:themeColor="text1"/>
          <w:sz w:val="28"/>
          <w:szCs w:val="28"/>
          <w:lang w:eastAsia="en-US"/>
        </w:rPr>
        <w:t xml:space="preserve"> показывает, что в отношении удовлетворенности условиями оказания услуг зафиксированные оценки параметров находятся на высоком уровне:</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5.1 – 29,1 балла из 30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5.2 – 19,6 балла из 20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5.3 – 49 баллов из 50 возможных.</w:t>
      </w:r>
    </w:p>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i/>
          <w:color w:val="000000" w:themeColor="text1"/>
          <w:sz w:val="28"/>
          <w:szCs w:val="28"/>
          <w:lang w:eastAsia="en-US"/>
        </w:rPr>
        <w:t>Интегральная оценка</w:t>
      </w:r>
      <w:r>
        <w:rPr>
          <w:rFonts w:eastAsia="Calibri" w:cs="Times New Roman" w:ascii="Times New Roman" w:hAnsi="Times New Roman"/>
          <w:color w:val="000000" w:themeColor="text1"/>
          <w:sz w:val="28"/>
          <w:szCs w:val="28"/>
          <w:lang w:eastAsia="en-US"/>
        </w:rPr>
        <w:t xml:space="preserve"> по данному набору параметров зафиксирована на высоком уровне – 98 баллов из 100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r>
        <w:br w:type="page"/>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Таким образом, по данным социологического опроса, потребители услуг:</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w:t>
      </w:r>
      <w:r>
        <w:rPr>
          <w:rFonts w:cs="Times New Roman" w:ascii="Times New Roman" w:hAnsi="Times New Roman"/>
          <w:color w:val="000000" w:themeColor="text1"/>
          <w:sz w:val="28"/>
          <w:szCs w:val="28"/>
          <w:lang w:val="en-US"/>
        </w:rPr>
        <w:t> </w:t>
      </w:r>
      <w:r>
        <w:rPr>
          <w:rFonts w:cs="Times New Roman" w:ascii="Times New Roman" w:hAnsi="Times New Roman"/>
          <w:color w:val="000000" w:themeColor="text1"/>
          <w:sz w:val="28"/>
          <w:szCs w:val="28"/>
        </w:rPr>
        <w:t>на высоком уровне оценивают открытость и доступность информации об организации культуры, а также доброжелательность и вежливость работников организации;</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w:t>
      </w:r>
      <w:r>
        <w:rPr>
          <w:rFonts w:cs="Times New Roman" w:ascii="Times New Roman" w:hAnsi="Times New Roman"/>
          <w:color w:val="000000" w:themeColor="text1"/>
          <w:sz w:val="28"/>
          <w:szCs w:val="28"/>
          <w:lang w:val="en-US"/>
        </w:rPr>
        <w:t> </w:t>
      </w:r>
      <w:r>
        <w:rPr>
          <w:rFonts w:cs="Times New Roman" w:ascii="Times New Roman" w:hAnsi="Times New Roman"/>
          <w:color w:val="000000" w:themeColor="text1"/>
          <w:sz w:val="28"/>
          <w:szCs w:val="28"/>
        </w:rPr>
        <w:t>на удовлетворительном уровне оценивают доступность в организации культуры услуг для инвалидов;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на высоком уровне оценивают комфортность условий предоставления услуг;</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w:t>
      </w:r>
      <w:r>
        <w:rPr>
          <w:rFonts w:cs="Times New Roman" w:ascii="Times New Roman" w:hAnsi="Times New Roman"/>
          <w:color w:val="000000" w:themeColor="text1"/>
          <w:sz w:val="28"/>
          <w:szCs w:val="28"/>
          <w:lang w:val="en-US"/>
        </w:rPr>
        <w:t> </w:t>
      </w:r>
      <w:r>
        <w:rPr>
          <w:rFonts w:cs="Times New Roman" w:ascii="Times New Roman" w:hAnsi="Times New Roman"/>
          <w:color w:val="000000" w:themeColor="text1"/>
          <w:sz w:val="28"/>
          <w:szCs w:val="28"/>
        </w:rPr>
        <w:t>демонстрируют высокую степень удовлетворенности условиями оказания услуг, и готовы рекомендовать МБУК «Савдянский сельский Дом культуры» Савдянского сельского поселения Заветинского района Ростовской области своим родственникам и знакомым.</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sectPr>
          <w:headerReference w:type="default" r:id="rId10"/>
          <w:headerReference w:type="first" r:id="rId11"/>
          <w:footerReference w:type="default" r:id="rId12"/>
          <w:footerReference w:type="first" r:id="rId13"/>
          <w:type w:val="nextPage"/>
          <w:pgSz w:w="11906" w:h="16838"/>
          <w:pgMar w:left="1701" w:right="851" w:header="709" w:top="1134" w:footer="709" w:bottom="1134" w:gutter="0"/>
          <w:pgNumType w:fmt="decimal"/>
          <w:formProt w:val="false"/>
          <w:titlePg/>
          <w:textDirection w:val="lrTb"/>
          <w:docGrid w:type="default" w:linePitch="360" w:charSpace="4096"/>
        </w:sectPr>
        <w:pStyle w:val="Normal"/>
        <w:spacing w:lineRule="auto" w:line="240" w:before="0" w:after="0"/>
        <w:jc w:val="both"/>
        <w:rPr>
          <w:rFonts w:ascii="Times New Roman" w:hAnsi="Times New Roman" w:eastAsia="Calibri" w:eastAsiaTheme="minorHAnsi"/>
          <w:color w:val="000000" w:themeColor="text1"/>
          <w:sz w:val="28"/>
          <w:szCs w:val="28"/>
        </w:rPr>
      </w:pPr>
      <w:r>
        <w:rPr>
          <w:rFonts w:eastAsia="Calibri" w:eastAsiaTheme="minorHAnsi" w:ascii="Times New Roman" w:hAnsi="Times New Roman"/>
          <w:color w:val="000000" w:themeColor="text1"/>
          <w:sz w:val="28"/>
          <w:szCs w:val="28"/>
        </w:rPr>
      </w:r>
    </w:p>
    <w:p>
      <w:pPr>
        <w:pStyle w:val="Normal"/>
        <w:keepNext w:val="true"/>
        <w:keepLines/>
        <w:numPr>
          <w:ilvl w:val="0"/>
          <w:numId w:val="0"/>
        </w:numPr>
        <w:spacing w:before="0" w:after="0"/>
        <w:ind w:hanging="0"/>
        <w:jc w:val="center"/>
        <w:outlineLvl w:val="0"/>
        <w:rPr>
          <w:rFonts w:ascii="Times New Roman" w:hAnsi="Times New Roman" w:eastAsia="Times New Roman" w:cs="Times New Roman"/>
          <w:b/>
          <w:b/>
          <w:bCs/>
          <w:color w:val="000000" w:themeColor="text1"/>
          <w:sz w:val="28"/>
          <w:szCs w:val="28"/>
        </w:rPr>
      </w:pPr>
      <w:bookmarkStart w:id="28" w:name="_Toc58223947"/>
      <w:bookmarkStart w:id="29" w:name="_Toc57800865"/>
      <w:bookmarkStart w:id="30" w:name="_Toc468106518"/>
      <w:bookmarkStart w:id="31" w:name="_Toc455479811"/>
      <w:r>
        <w:rPr>
          <w:rFonts w:eastAsia="Times New Roman" w:cs="Times New Roman" w:ascii="Times New Roman" w:hAnsi="Times New Roman"/>
          <w:b/>
          <w:bCs/>
          <w:color w:val="000000" w:themeColor="text1"/>
          <w:sz w:val="28"/>
          <w:szCs w:val="28"/>
        </w:rPr>
        <w:t>8. Заключение</w:t>
      </w:r>
      <w:bookmarkEnd w:id="28"/>
      <w:bookmarkEnd w:id="29"/>
      <w:bookmarkEnd w:id="30"/>
      <w:bookmarkEnd w:id="31"/>
    </w:p>
    <w:p>
      <w:p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before="0" w:after="0"/>
        <w:jc w:val="center"/>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xml:space="preserve">(показатели независимой оценки качества условий </w:t>
      </w:r>
      <w:r>
        <w:rPr>
          <w:rFonts w:cs="Times New Roman" w:ascii="Times New Roman" w:hAnsi="Times New Roman"/>
          <w:color w:val="000000" w:themeColor="text1"/>
          <w:sz w:val="28"/>
          <w:szCs w:val="28"/>
        </w:rPr>
        <w:t xml:space="preserve">оказания услуг организацией культуры </w:t>
      </w:r>
      <w:r>
        <w:rPr>
          <w:rFonts w:eastAsia="Calibri" w:cs="Times New Roman" w:ascii="Times New Roman" w:hAnsi="Times New Roman"/>
          <w:color w:val="000000" w:themeColor="text1"/>
          <w:sz w:val="28"/>
          <w:szCs w:val="28"/>
          <w:lang w:eastAsia="en-US"/>
        </w:rPr>
        <w:t xml:space="preserve">для размещения на </w:t>
      </w:r>
      <w:hyperlink r:id="rId14">
        <w:r>
          <w:rPr>
            <w:rStyle w:val="ListLabel11"/>
            <w:rFonts w:eastAsia="Calibri" w:cs="Times New Roman" w:ascii="Times New Roman" w:hAnsi="Times New Roman"/>
            <w:color w:val="000000" w:themeColor="text1"/>
            <w:sz w:val="28"/>
            <w:szCs w:val="28"/>
            <w:u w:val="single"/>
            <w:lang w:eastAsia="en-US"/>
          </w:rPr>
          <w:t>http://bus.gov.ru</w:t>
        </w:r>
      </w:hyperlink>
      <w:r>
        <w:rPr>
          <w:rFonts w:eastAsia="Calibri" w:cs="Times New Roman" w:ascii="Times New Roman" w:hAnsi="Times New Roman"/>
          <w:color w:val="000000" w:themeColor="text1"/>
          <w:sz w:val="28"/>
          <w:szCs w:val="28"/>
          <w:lang w:eastAsia="en-US"/>
        </w:rPr>
        <w:t>)</w:t>
      </w:r>
    </w:p>
    <w:p>
      <w:pPr>
        <w:pStyle w:val="Normal"/>
        <w:spacing w:before="0" w:after="0"/>
        <w:jc w:val="center"/>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tbl>
      <w:tblPr>
        <w:tblStyle w:val="aa"/>
        <w:tblW w:w="14572" w:type="dxa"/>
        <w:jc w:val="left"/>
        <w:tblInd w:w="108" w:type="dxa"/>
        <w:tblCellMar>
          <w:top w:w="0" w:type="dxa"/>
          <w:left w:w="108" w:type="dxa"/>
          <w:bottom w:w="0" w:type="dxa"/>
          <w:right w:w="108" w:type="dxa"/>
        </w:tblCellMar>
        <w:tblLook w:firstRow="1" w:noVBand="1" w:lastRow="0" w:firstColumn="1" w:lastColumn="0" w:noHBand="0" w:val="04a0"/>
      </w:tblPr>
      <w:tblGrid>
        <w:gridCol w:w="708"/>
        <w:gridCol w:w="10327"/>
        <w:gridCol w:w="3537"/>
      </w:tblGrid>
      <w:tr>
        <w:trPr>
          <w:tblHeader w:val="true"/>
        </w:trPr>
        <w:tc>
          <w:tcPr>
            <w:tcW w:w="708"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w:t>
            </w:r>
          </w:p>
        </w:tc>
        <w:tc>
          <w:tcPr>
            <w:tcW w:w="10327"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Параметры / показатели</w:t>
            </w:r>
          </w:p>
        </w:tc>
        <w:tc>
          <w:tcPr>
            <w:tcW w:w="3537" w:type="dxa"/>
            <w:tcBorders/>
            <w:shd w:fill="auto" w:val="clear"/>
            <w:vAlign w:val="cente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МБУК «</w:t>
            </w:r>
            <w:r>
              <w:rPr>
                <w:rFonts w:eastAsia="Times New Roman" w:cs="Times New Roman" w:ascii="Times New Roman" w:hAnsi="Times New Roman"/>
                <w:b/>
                <w:color w:val="000000" w:themeColor="text1"/>
                <w:sz w:val="24"/>
                <w:szCs w:val="24"/>
              </w:rPr>
              <w:t>Савдянский сельский Дом культуры</w:t>
            </w:r>
            <w:r>
              <w:rPr>
                <w:rFonts w:cs="Times New Roman" w:ascii="Times New Roman" w:hAnsi="Times New Roman"/>
                <w:b/>
                <w:color w:val="000000" w:themeColor="text1"/>
                <w:sz w:val="24"/>
                <w:szCs w:val="24"/>
              </w:rPr>
              <w:t>»</w:t>
            </w:r>
          </w:p>
        </w:tc>
      </w:tr>
      <w:tr>
        <w:trPr>
          <w:trHeight w:val="20" w:hRule="atLeast"/>
        </w:trPr>
        <w:tc>
          <w:tcPr>
            <w:tcW w:w="708"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w:t>
            </w:r>
          </w:p>
        </w:tc>
        <w:tc>
          <w:tcPr>
            <w:tcW w:w="13864" w:type="dxa"/>
            <w:gridSpan w:val="2"/>
            <w:tcBorders/>
            <w:shd w:color="auto" w:fill="F2F2F2" w:themeFill="background1" w:themeFillShade="f2"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Открытость и доступность информации об организации культуры, баллы</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1.1</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23,4</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1.2</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27,0</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39,4</w:t>
            </w:r>
          </w:p>
        </w:tc>
      </w:tr>
      <w:tr>
        <w:trPr>
          <w:trHeight w:val="20" w:hRule="atLeast"/>
        </w:trPr>
        <w:tc>
          <w:tcPr>
            <w:tcW w:w="708"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10327" w:type="dxa"/>
            <w:tcBorders/>
            <w:shd w:color="auto" w:fill="D9D9D9" w:themeFill="background1" w:themeFillShade="d9" w:val="clear"/>
          </w:tcPr>
          <w:p>
            <w:pPr>
              <w:pStyle w:val="Normal"/>
              <w:spacing w:lineRule="auto" w:line="240" w:before="0" w:after="0"/>
              <w:jc w:val="both"/>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Итого по разделу 1</w:t>
            </w:r>
          </w:p>
        </w:tc>
        <w:tc>
          <w:tcPr>
            <w:tcW w:w="3537"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bCs/>
                <w:color w:val="000000" w:themeColor="text1"/>
                <w:sz w:val="24"/>
                <w:szCs w:val="24"/>
              </w:rPr>
            </w:pPr>
            <w:r>
              <w:rPr>
                <w:rFonts w:cs="Times New Roman" w:ascii="Times New Roman" w:hAnsi="Times New Roman"/>
                <w:b/>
                <w:bCs/>
                <w:color w:val="000000" w:themeColor="text1"/>
                <w:sz w:val="24"/>
                <w:szCs w:val="24"/>
              </w:rPr>
              <w:t>90</w:t>
            </w:r>
          </w:p>
        </w:tc>
      </w:tr>
      <w:tr>
        <w:trPr>
          <w:trHeight w:val="20" w:hRule="atLeast"/>
        </w:trPr>
        <w:tc>
          <w:tcPr>
            <w:tcW w:w="708"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w:t>
            </w:r>
          </w:p>
        </w:tc>
        <w:tc>
          <w:tcPr>
            <w:tcW w:w="13864" w:type="dxa"/>
            <w:gridSpan w:val="2"/>
            <w:tcBorders/>
            <w:shd w:color="auto" w:fill="F2F2F2" w:themeFill="background1" w:themeFillShade="f2"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Комфортность условий предоставления услуг, баллы</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2.1</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Обеспечение в организации комфортных условий для предоставления услуг</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lang w:val="en-US"/>
              </w:rPr>
              <w:t>5</w:t>
            </w:r>
            <w:r>
              <w:rPr>
                <w:rFonts w:cs="Times New Roman" w:ascii="Times New Roman" w:hAnsi="Times New Roman"/>
                <w:color w:val="000000" w:themeColor="text1"/>
                <w:sz w:val="24"/>
                <w:szCs w:val="24"/>
              </w:rPr>
              <w:t>0,0</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2.3</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комфортностью условий предоставления услуг</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49,5</w:t>
            </w:r>
          </w:p>
        </w:tc>
      </w:tr>
      <w:tr>
        <w:trPr>
          <w:trHeight w:val="20" w:hRule="atLeast"/>
        </w:trPr>
        <w:tc>
          <w:tcPr>
            <w:tcW w:w="708"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10327" w:type="dxa"/>
            <w:tcBorders/>
            <w:shd w:color="auto" w:fill="D9D9D9" w:themeFill="background1" w:themeFillShade="d9" w:val="clear"/>
          </w:tcPr>
          <w:p>
            <w:pPr>
              <w:pStyle w:val="Normal"/>
              <w:spacing w:lineRule="auto" w:line="240" w:before="0" w:after="0"/>
              <w:jc w:val="both"/>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Итого по разделу 2</w:t>
            </w:r>
          </w:p>
        </w:tc>
        <w:tc>
          <w:tcPr>
            <w:tcW w:w="3537"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100</w:t>
            </w:r>
          </w:p>
        </w:tc>
      </w:tr>
      <w:tr>
        <w:trPr>
          <w:trHeight w:val="20" w:hRule="atLeast"/>
        </w:trPr>
        <w:tc>
          <w:tcPr>
            <w:tcW w:w="708"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w:t>
            </w:r>
          </w:p>
        </w:tc>
        <w:tc>
          <w:tcPr>
            <w:tcW w:w="13864" w:type="dxa"/>
            <w:gridSpan w:val="2"/>
            <w:tcBorders/>
            <w:shd w:color="auto" w:fill="F2F2F2" w:themeFill="background1" w:themeFillShade="f2"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Доступность услуг для инвалидов, баллы</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3.1</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Оборудование территории, прилегающей к организации, и ее помещений с учетом доступности для инвалидов</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12,0</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3.2</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Обеспечение в организации условий доступности, позволяющих инвалидам получать услуги наравне с другими</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24,0</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3.3</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доступностью услуг для инвалидов</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20,4</w:t>
            </w:r>
          </w:p>
        </w:tc>
      </w:tr>
      <w:tr>
        <w:trPr>
          <w:trHeight w:val="20" w:hRule="atLeast"/>
        </w:trPr>
        <w:tc>
          <w:tcPr>
            <w:tcW w:w="708"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10327" w:type="dxa"/>
            <w:tcBorders/>
            <w:shd w:color="auto" w:fill="D9D9D9" w:themeFill="background1" w:themeFillShade="d9" w:val="clear"/>
          </w:tcPr>
          <w:p>
            <w:pPr>
              <w:pStyle w:val="Normal"/>
              <w:spacing w:lineRule="auto" w:line="240" w:before="0" w:after="0"/>
              <w:jc w:val="both"/>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Итого по разделу 3</w:t>
            </w:r>
          </w:p>
        </w:tc>
        <w:tc>
          <w:tcPr>
            <w:tcW w:w="3537"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bCs/>
                <w:color w:val="000000" w:themeColor="text1"/>
                <w:sz w:val="24"/>
                <w:szCs w:val="24"/>
              </w:rPr>
            </w:pPr>
            <w:r>
              <w:rPr>
                <w:rFonts w:cs="Times New Roman" w:ascii="Times New Roman" w:hAnsi="Times New Roman"/>
                <w:b/>
                <w:bCs/>
                <w:color w:val="000000" w:themeColor="text1"/>
                <w:sz w:val="24"/>
                <w:szCs w:val="24"/>
              </w:rPr>
              <w:t>56</w:t>
            </w:r>
          </w:p>
        </w:tc>
      </w:tr>
      <w:tr>
        <w:trPr>
          <w:trHeight w:val="20" w:hRule="atLeast"/>
        </w:trPr>
        <w:tc>
          <w:tcPr>
            <w:tcW w:w="708"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w:t>
            </w:r>
          </w:p>
        </w:tc>
        <w:tc>
          <w:tcPr>
            <w:tcW w:w="13864" w:type="dxa"/>
            <w:gridSpan w:val="2"/>
            <w:tcBorders/>
            <w:shd w:color="auto" w:fill="F2F2F2" w:themeFill="background1" w:themeFillShade="f2"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Доброжелательность, вежливость работников организации, баллы</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4.1</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39,2</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4.2</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39,6</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4.3</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19,8</w:t>
            </w:r>
          </w:p>
        </w:tc>
      </w:tr>
      <w:tr>
        <w:trPr>
          <w:trHeight w:val="20" w:hRule="atLeast"/>
        </w:trPr>
        <w:tc>
          <w:tcPr>
            <w:tcW w:w="708"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10327" w:type="dxa"/>
            <w:tcBorders/>
            <w:shd w:color="auto" w:fill="D9D9D9" w:themeFill="background1" w:themeFillShade="d9" w:val="clear"/>
          </w:tcPr>
          <w:p>
            <w:pPr>
              <w:pStyle w:val="Normal"/>
              <w:spacing w:lineRule="auto" w:line="240" w:before="0" w:after="0"/>
              <w:jc w:val="both"/>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Итого по разделу 4</w:t>
            </w:r>
          </w:p>
        </w:tc>
        <w:tc>
          <w:tcPr>
            <w:tcW w:w="3537"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bCs/>
                <w:color w:val="000000" w:themeColor="text1"/>
                <w:sz w:val="24"/>
                <w:szCs w:val="24"/>
              </w:rPr>
            </w:pPr>
            <w:r>
              <w:rPr>
                <w:rFonts w:cs="Times New Roman" w:ascii="Times New Roman" w:hAnsi="Times New Roman"/>
                <w:b/>
                <w:bCs/>
                <w:color w:val="000000" w:themeColor="text1"/>
                <w:sz w:val="24"/>
                <w:szCs w:val="24"/>
              </w:rPr>
              <w:t>99</w:t>
            </w:r>
          </w:p>
        </w:tc>
      </w:tr>
      <w:tr>
        <w:trPr>
          <w:trHeight w:val="20" w:hRule="atLeast"/>
        </w:trPr>
        <w:tc>
          <w:tcPr>
            <w:tcW w:w="708" w:type="dxa"/>
            <w:tcBorders/>
            <w:shd w:color="auto" w:fill="F2F2F2" w:themeFill="background1" w:themeFillShade="f2"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w:t>
            </w:r>
          </w:p>
        </w:tc>
        <w:tc>
          <w:tcPr>
            <w:tcW w:w="13864" w:type="dxa"/>
            <w:gridSpan w:val="2"/>
            <w:tcBorders/>
            <w:shd w:color="auto" w:fill="F2F2F2" w:themeFill="background1" w:themeFillShade="f2" w:val="clear"/>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Удовлетворенность условиями оказания услуг, баллы</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5.1</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которые готовы рекомендовать организацию родственникам и знакомым</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29,1</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5.2</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графиком работы организации</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19,6</w:t>
            </w:r>
          </w:p>
        </w:tc>
      </w:tr>
      <w:tr>
        <w:trPr>
          <w:trHeight w:val="20" w:hRule="atLeast"/>
        </w:trPr>
        <w:tc>
          <w:tcPr>
            <w:tcW w:w="708" w:type="dxa"/>
            <w:tcBorders/>
            <w:shd w:fill="auto" w:val="cle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5.3</w:t>
            </w:r>
          </w:p>
        </w:tc>
        <w:tc>
          <w:tcPr>
            <w:tcW w:w="10327" w:type="dxa"/>
            <w:tcBorders/>
            <w:shd w:fill="auto" w:val="clear"/>
            <w:vAlign w:val="bottom"/>
          </w:tcPr>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Доля получателей услуг, удовлетворенных в целом условиями оказания услуг в организации</w:t>
            </w:r>
          </w:p>
        </w:tc>
        <w:tc>
          <w:tcPr>
            <w:tcW w:w="3537" w:type="dxa"/>
            <w:tcBorders/>
            <w:shd w:fill="auto" w:val="clear"/>
            <w:vAlign w:val="bottom"/>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49,0</w:t>
            </w:r>
          </w:p>
        </w:tc>
      </w:tr>
      <w:tr>
        <w:trPr>
          <w:trHeight w:val="20" w:hRule="atLeast"/>
        </w:trPr>
        <w:tc>
          <w:tcPr>
            <w:tcW w:w="708" w:type="dxa"/>
            <w:tcBorders/>
            <w:shd w:color="auto" w:fill="D9D9D9" w:themeFill="background1" w:themeFillShade="d9" w:val="clear"/>
          </w:tcPr>
          <w:p>
            <w:pPr>
              <w:pStyle w:val="Normal"/>
              <w:spacing w:lineRule="auto" w:line="240" w:before="0" w:after="0"/>
              <w:jc w:val="center"/>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r>
          </w:p>
        </w:tc>
        <w:tc>
          <w:tcPr>
            <w:tcW w:w="10327" w:type="dxa"/>
            <w:tcBorders/>
            <w:shd w:color="auto" w:fill="D9D9D9" w:themeFill="background1" w:themeFillShade="d9" w:val="clear"/>
          </w:tcPr>
          <w:p>
            <w:pPr>
              <w:pStyle w:val="Normal"/>
              <w:spacing w:lineRule="auto" w:line="240" w:before="0" w:after="0"/>
              <w:jc w:val="both"/>
              <w:rPr>
                <w:rFonts w:ascii="Times New Roman" w:hAnsi="Times New Roman" w:cs="Times New Roman"/>
                <w:b/>
                <w:b/>
                <w:color w:val="000000" w:themeColor="text1"/>
                <w:sz w:val="24"/>
                <w:szCs w:val="24"/>
              </w:rPr>
            </w:pPr>
            <w:r>
              <w:rPr>
                <w:rFonts w:cs="Times New Roman" w:ascii="Times New Roman" w:hAnsi="Times New Roman"/>
                <w:b/>
                <w:color w:val="000000" w:themeColor="text1"/>
                <w:sz w:val="24"/>
                <w:szCs w:val="24"/>
              </w:rPr>
              <w:t>Итого по разделу 5</w:t>
            </w:r>
          </w:p>
        </w:tc>
        <w:tc>
          <w:tcPr>
            <w:tcW w:w="3537" w:type="dxa"/>
            <w:tcBorders/>
            <w:shd w:color="auto" w:fill="D9D9D9" w:themeFill="background1" w:themeFillShade="d9" w:val="clear"/>
            <w:vAlign w:val="bottom"/>
          </w:tcPr>
          <w:p>
            <w:pPr>
              <w:pStyle w:val="Normal"/>
              <w:spacing w:lineRule="auto" w:line="240" w:before="0" w:after="0"/>
              <w:jc w:val="center"/>
              <w:rPr>
                <w:rFonts w:ascii="Times New Roman" w:hAnsi="Times New Roman" w:cs="Times New Roman"/>
                <w:b/>
                <w:b/>
                <w:bCs/>
                <w:color w:val="000000" w:themeColor="text1"/>
                <w:sz w:val="24"/>
                <w:szCs w:val="24"/>
              </w:rPr>
            </w:pPr>
            <w:r>
              <w:rPr>
                <w:rFonts w:cs="Times New Roman" w:ascii="Times New Roman" w:hAnsi="Times New Roman"/>
                <w:b/>
                <w:bCs/>
                <w:color w:val="000000" w:themeColor="text1"/>
                <w:sz w:val="24"/>
                <w:szCs w:val="24"/>
              </w:rPr>
              <w:t>98</w:t>
            </w:r>
          </w:p>
        </w:tc>
      </w:tr>
      <w:tr>
        <w:trPr>
          <w:trHeight w:val="20" w:hRule="atLeast"/>
        </w:trPr>
        <w:tc>
          <w:tcPr>
            <w:tcW w:w="708" w:type="dxa"/>
            <w:tcBorders/>
            <w:shd w:color="auto" w:fill="BFBFBF" w:themeFill="background1" w:themeFillShade="bf" w:val="clear"/>
          </w:tcPr>
          <w:p>
            <w:pPr>
              <w:pStyle w:val="Normal"/>
              <w:spacing w:lineRule="auto" w:line="240" w:before="0" w:after="0"/>
              <w:jc w:val="center"/>
              <w:rPr>
                <w:rFonts w:ascii="Times New Roman" w:hAnsi="Times New Roman" w:cs="Times New Roman"/>
                <w:b/>
                <w:b/>
                <w:i/>
                <w:i/>
                <w:color w:val="000000" w:themeColor="text1"/>
                <w:sz w:val="24"/>
                <w:szCs w:val="24"/>
              </w:rPr>
            </w:pPr>
            <w:r>
              <w:rPr>
                <w:rFonts w:cs="Times New Roman" w:ascii="Times New Roman" w:hAnsi="Times New Roman"/>
                <w:b/>
                <w:i/>
                <w:color w:val="000000" w:themeColor="text1"/>
                <w:sz w:val="24"/>
                <w:szCs w:val="24"/>
              </w:rPr>
            </w:r>
          </w:p>
        </w:tc>
        <w:tc>
          <w:tcPr>
            <w:tcW w:w="10327" w:type="dxa"/>
            <w:tcBorders/>
            <w:shd w:color="auto" w:fill="BFBFBF" w:themeFill="background1" w:themeFillShade="bf" w:val="clear"/>
          </w:tcPr>
          <w:p>
            <w:pPr>
              <w:pStyle w:val="Normal"/>
              <w:spacing w:lineRule="auto" w:line="240" w:before="0" w:after="0"/>
              <w:jc w:val="both"/>
              <w:rPr>
                <w:rFonts w:ascii="Times New Roman" w:hAnsi="Times New Roman" w:cs="Times New Roman"/>
                <w:b/>
                <w:b/>
                <w:i/>
                <w:i/>
                <w:color w:val="000000" w:themeColor="text1"/>
                <w:sz w:val="24"/>
                <w:szCs w:val="24"/>
              </w:rPr>
            </w:pPr>
            <w:r>
              <w:rPr>
                <w:rFonts w:cs="Times New Roman" w:ascii="Times New Roman" w:hAnsi="Times New Roman"/>
                <w:b/>
                <w:i/>
                <w:color w:val="000000" w:themeColor="text1"/>
                <w:sz w:val="24"/>
                <w:szCs w:val="24"/>
              </w:rPr>
              <w:t>Итого по разделам 1-5 (интегральный показатель)</w:t>
            </w:r>
          </w:p>
        </w:tc>
        <w:tc>
          <w:tcPr>
            <w:tcW w:w="3537" w:type="dxa"/>
            <w:tcBorders/>
            <w:shd w:color="auto" w:fill="BFBFBF" w:themeFill="background1" w:themeFillShade="bf" w:val="clear"/>
            <w:vAlign w:val="bottom"/>
          </w:tcPr>
          <w:p>
            <w:pPr>
              <w:pStyle w:val="Normal"/>
              <w:spacing w:lineRule="auto" w:line="240" w:before="0" w:after="0"/>
              <w:jc w:val="center"/>
              <w:rPr>
                <w:rFonts w:ascii="Times New Roman" w:hAnsi="Times New Roman" w:cs="Times New Roman"/>
                <w:b/>
                <w:b/>
                <w:i/>
                <w:i/>
                <w:color w:val="000000" w:themeColor="text1"/>
                <w:sz w:val="24"/>
                <w:szCs w:val="24"/>
              </w:rPr>
            </w:pPr>
            <w:r>
              <w:rPr>
                <w:rFonts w:cs="Times New Roman" w:ascii="Times New Roman" w:hAnsi="Times New Roman"/>
                <w:b/>
                <w:i/>
                <w:color w:val="000000" w:themeColor="text1"/>
                <w:sz w:val="24"/>
                <w:szCs w:val="24"/>
              </w:rPr>
              <w:t>443</w:t>
            </w:r>
          </w:p>
        </w:tc>
      </w:tr>
      <w:tr>
        <w:trPr>
          <w:trHeight w:val="20" w:hRule="atLeast"/>
        </w:trPr>
        <w:tc>
          <w:tcPr>
            <w:tcW w:w="708" w:type="dxa"/>
            <w:tcBorders/>
            <w:shd w:color="auto" w:fill="BFBFBF" w:themeFill="background1" w:themeFillShade="bf" w:val="clear"/>
          </w:tcPr>
          <w:p>
            <w:pPr>
              <w:pStyle w:val="Normal"/>
              <w:spacing w:lineRule="auto" w:line="240" w:before="0" w:after="0"/>
              <w:jc w:val="center"/>
              <w:rPr>
                <w:rFonts w:ascii="Times New Roman" w:hAnsi="Times New Roman" w:cs="Times New Roman"/>
                <w:b/>
                <w:b/>
                <w:i/>
                <w:i/>
                <w:color w:val="000000" w:themeColor="text1"/>
                <w:sz w:val="24"/>
                <w:szCs w:val="24"/>
              </w:rPr>
            </w:pPr>
            <w:r>
              <w:rPr>
                <w:rFonts w:cs="Times New Roman" w:ascii="Times New Roman" w:hAnsi="Times New Roman"/>
                <w:b/>
                <w:i/>
                <w:color w:val="000000" w:themeColor="text1"/>
                <w:sz w:val="24"/>
                <w:szCs w:val="24"/>
              </w:rPr>
            </w:r>
          </w:p>
        </w:tc>
        <w:tc>
          <w:tcPr>
            <w:tcW w:w="10327" w:type="dxa"/>
            <w:tcBorders/>
            <w:shd w:color="auto" w:fill="BFBFBF" w:themeFill="background1" w:themeFillShade="bf" w:val="clear"/>
            <w:vAlign w:val="bottom"/>
          </w:tcPr>
          <w:p>
            <w:pPr>
              <w:pStyle w:val="Normal"/>
              <w:spacing w:lineRule="auto" w:line="240" w:before="0" w:after="0"/>
              <w:jc w:val="both"/>
              <w:rPr>
                <w:rFonts w:ascii="Times New Roman" w:hAnsi="Times New Roman" w:cs="Times New Roman"/>
                <w:b/>
                <w:b/>
                <w:i/>
                <w:i/>
                <w:color w:val="000000" w:themeColor="text1"/>
                <w:sz w:val="24"/>
                <w:szCs w:val="24"/>
              </w:rPr>
            </w:pPr>
            <w:r>
              <w:rPr>
                <w:rFonts w:cs="Times New Roman" w:ascii="Times New Roman" w:hAnsi="Times New Roman"/>
                <w:b/>
                <w:i/>
                <w:color w:val="000000" w:themeColor="text1"/>
                <w:sz w:val="24"/>
                <w:szCs w:val="24"/>
              </w:rPr>
              <w:t>Показатель оценки качества по организации (в среднем по разделам 1-5)</w:t>
            </w:r>
          </w:p>
        </w:tc>
        <w:tc>
          <w:tcPr>
            <w:tcW w:w="3537" w:type="dxa"/>
            <w:tcBorders/>
            <w:shd w:color="auto" w:fill="BFBFBF" w:themeFill="background1" w:themeFillShade="bf" w:val="clear"/>
            <w:vAlign w:val="bottom"/>
          </w:tcPr>
          <w:p>
            <w:pPr>
              <w:pStyle w:val="Normal"/>
              <w:spacing w:lineRule="auto" w:line="240" w:before="0" w:after="0"/>
              <w:jc w:val="center"/>
              <w:rPr>
                <w:rFonts w:ascii="Times New Roman" w:hAnsi="Times New Roman" w:cs="Times New Roman"/>
                <w:b/>
                <w:b/>
                <w:i/>
                <w:i/>
                <w:color w:val="000000" w:themeColor="text1"/>
                <w:sz w:val="24"/>
                <w:szCs w:val="24"/>
              </w:rPr>
            </w:pPr>
            <w:r>
              <w:rPr>
                <w:rFonts w:cs="Times New Roman" w:ascii="Times New Roman" w:hAnsi="Times New Roman"/>
                <w:b/>
                <w:i/>
                <w:color w:val="000000" w:themeColor="text1"/>
                <w:sz w:val="24"/>
                <w:szCs w:val="24"/>
              </w:rPr>
              <w:t>89</w:t>
            </w:r>
          </w:p>
        </w:tc>
      </w:tr>
    </w:tbl>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r>
        <w:br w:type="page"/>
      </w:r>
    </w:p>
    <w:p>
      <w:pPr>
        <w:pStyle w:val="Normal"/>
        <w:spacing w:lineRule="auto" w:line="240" w:before="0" w:after="0"/>
        <w:jc w:val="center"/>
        <w:rPr>
          <w:rFonts w:ascii="Times New Roman" w:hAnsi="Times New Roman" w:cs="Times New Roman"/>
          <w:color w:val="000000" w:themeColor="text1"/>
          <w:sz w:val="28"/>
          <w:szCs w:val="28"/>
        </w:rPr>
      </w:pPr>
      <w:r>
        <w:rPr/>
        <w:drawing>
          <wp:inline distT="0" distB="8890" distL="0" distR="3810">
            <wp:extent cx="9254490" cy="5401310"/>
            <wp:effectExtent l="0" t="0" r="0" b="0"/>
            <wp:docPr id="8"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
                    <pic:cNvPicPr>
                      <a:picLocks noChangeAspect="1" noChangeArrowheads="1"/>
                    </pic:cNvPicPr>
                  </pic:nvPicPr>
                  <pic:blipFill>
                    <a:blip r:embed="rId15"/>
                    <a:stretch>
                      <a:fillRect/>
                    </a:stretch>
                  </pic:blipFill>
                  <pic:spPr bwMode="auto">
                    <a:xfrm>
                      <a:off x="0" y="0"/>
                      <a:ext cx="9254490" cy="5401310"/>
                    </a:xfrm>
                    <a:prstGeom prst="rect">
                      <a:avLst/>
                    </a:prstGeom>
                  </pic:spPr>
                </pic:pic>
              </a:graphicData>
            </a:graphic>
          </wp:inline>
        </w:drawing>
      </w:r>
    </w:p>
    <w:p>
      <w:pPr>
        <w:sectPr>
          <w:headerReference w:type="default" r:id="rId16"/>
          <w:footerReference w:type="default" r:id="rId17"/>
          <w:type w:val="nextPage"/>
          <w:pgSz w:orient="landscape" w:w="16838" w:h="11906"/>
          <w:pgMar w:left="1134" w:right="1134" w:header="708" w:top="1701" w:footer="708" w:bottom="850" w:gutter="0"/>
          <w:pgNumType w:fmt="decimal"/>
          <w:formProt w:val="false"/>
          <w:textDirection w:val="lrTb"/>
          <w:docGrid w:type="default" w:linePitch="360" w:charSpace="4096"/>
        </w:sectPr>
        <w:pStyle w:val="Normal"/>
        <w:spacing w:before="0" w:after="0"/>
        <w:jc w:val="center"/>
        <w:rPr>
          <w:rFonts w:ascii="Times New Roman" w:hAnsi="Times New Roman" w:cs="Times New Roman"/>
          <w:color w:val="000000" w:themeColor="text1"/>
          <w:sz w:val="28"/>
          <w:szCs w:val="28"/>
        </w:rPr>
      </w:pPr>
      <w:r>
        <w:rPr>
          <w:rFonts w:ascii="Times New Roman" w:hAnsi="Times New Roman"/>
          <w:color w:val="000000" w:themeColor="text1"/>
          <w:sz w:val="28"/>
          <w:szCs w:val="28"/>
        </w:rPr>
        <w:t>Рисунок 8.1 – Средние значения оценки параметров, характеризующих качество условий оказания услуг</w:t>
        <w:br/>
        <w:t>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r>
        <w:rPr>
          <w:rFonts w:ascii="Times New Roman" w:hAnsi="Times New Roman"/>
          <w:color w:val="000000" w:themeColor="text1"/>
          <w:sz w:val="28"/>
          <w:szCs w:val="28"/>
        </w:rPr>
        <w:t>, баллы</w:t>
      </w:r>
    </w:p>
    <w:p>
      <w:pPr>
        <w:pStyle w:val="Normal"/>
        <w:keepNext w:val="true"/>
        <w:keepLines/>
        <w:numPr>
          <w:ilvl w:val="0"/>
          <w:numId w:val="0"/>
        </w:numPr>
        <w:spacing w:before="0" w:after="0"/>
        <w:ind w:hanging="0"/>
        <w:jc w:val="center"/>
        <w:outlineLvl w:val="0"/>
        <w:rPr>
          <w:rFonts w:ascii="Times New Roman" w:hAnsi="Times New Roman" w:eastAsia="Times New Roman" w:cs="Times New Roman"/>
          <w:b/>
          <w:b/>
          <w:bCs/>
          <w:color w:val="000000" w:themeColor="text1"/>
          <w:sz w:val="28"/>
          <w:szCs w:val="28"/>
        </w:rPr>
      </w:pPr>
      <w:bookmarkStart w:id="32" w:name="_Toc58223948"/>
      <w:bookmarkStart w:id="33" w:name="_Toc57800866"/>
      <w:bookmarkStart w:id="34" w:name="_Toc531433601"/>
      <w:r>
        <w:rPr>
          <w:rFonts w:eastAsia="Times New Roman" w:cs="Times New Roman" w:ascii="Times New Roman" w:hAnsi="Times New Roman"/>
          <w:b/>
          <w:bCs/>
          <w:color w:val="000000" w:themeColor="text1"/>
          <w:sz w:val="28"/>
          <w:szCs w:val="28"/>
        </w:rPr>
        <w:t>9. Выводы и предложения по совершенствованию деятельности организаци</w:t>
      </w:r>
      <w:bookmarkEnd w:id="34"/>
      <w:r>
        <w:rPr>
          <w:rFonts w:eastAsia="Times New Roman" w:cs="Times New Roman" w:ascii="Times New Roman" w:hAnsi="Times New Roman"/>
          <w:b/>
          <w:bCs/>
          <w:color w:val="000000" w:themeColor="text1"/>
          <w:sz w:val="28"/>
          <w:szCs w:val="28"/>
        </w:rPr>
        <w:t>и культуры</w:t>
      </w:r>
      <w:bookmarkEnd w:id="32"/>
      <w:bookmarkEnd w:id="33"/>
    </w:p>
    <w:p>
      <w:pPr>
        <w:pStyle w:val="Normal"/>
        <w:spacing w:before="0" w:after="0"/>
        <w:jc w:val="center"/>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keepNext w:val="true"/>
        <w:keepLines/>
        <w:numPr>
          <w:ilvl w:val="0"/>
          <w:numId w:val="0"/>
        </w:numPr>
        <w:spacing w:before="0" w:after="0"/>
        <w:ind w:hanging="0"/>
        <w:jc w:val="center"/>
        <w:outlineLvl w:val="1"/>
        <w:rPr>
          <w:rFonts w:ascii="Times New Roman" w:hAnsi="Times New Roman" w:eastAsia="Calibri" w:cs="Times New Roman"/>
          <w:b/>
          <w:b/>
          <w:color w:val="000000" w:themeColor="text1"/>
          <w:sz w:val="28"/>
          <w:szCs w:val="28"/>
          <w:lang w:eastAsia="en-US"/>
        </w:rPr>
      </w:pPr>
      <w:r>
        <w:rPr>
          <w:rFonts w:eastAsia="Calibri" w:cs="Times New Roman" w:ascii="Times New Roman" w:hAnsi="Times New Roman"/>
          <w:b/>
          <w:color w:val="000000" w:themeColor="text1"/>
          <w:sz w:val="28"/>
          <w:szCs w:val="28"/>
          <w:lang w:eastAsia="en-US"/>
        </w:rPr>
        <w:t>9.1 Выводы</w:t>
      </w:r>
    </w:p>
    <w:p>
      <w:pPr>
        <w:pStyle w:val="Normal"/>
        <w:spacing w:lineRule="auto" w:line="360" w:before="0" w:after="0"/>
        <w:ind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xml:space="preserve">Результаты сбора и обобщения информации о качестве условий оказания услуг в муниципальном бюджетном учреждении культуры </w:t>
      </w:r>
      <w:r>
        <w:rPr>
          <w:rFonts w:ascii="Times New Roman" w:hAnsi="Times New Roman"/>
          <w:color w:val="000000" w:themeColor="text1"/>
          <w:sz w:val="28"/>
          <w:szCs w:val="28"/>
        </w:rPr>
        <w:t>«</w:t>
      </w:r>
      <w:r>
        <w:rPr>
          <w:rFonts w:eastAsia="Times New Roman" w:cs="Times New Roman" w:ascii="Times New Roman" w:hAnsi="Times New Roman"/>
          <w:color w:val="000000" w:themeColor="text1"/>
          <w:sz w:val="28"/>
          <w:szCs w:val="28"/>
        </w:rPr>
        <w:t>Савдянский сельский Дом культуры</w:t>
      </w:r>
      <w:r>
        <w:rPr>
          <w:rFonts w:ascii="Times New Roman" w:hAnsi="Times New Roman"/>
          <w:color w:val="000000" w:themeColor="text1"/>
          <w:sz w:val="28"/>
          <w:szCs w:val="28"/>
        </w:rPr>
        <w:t>»</w:t>
      </w:r>
      <w:r>
        <w:rPr>
          <w:rFonts w:eastAsia="Calibri" w:cs="Times New Roman" w:ascii="Times New Roman" w:hAnsi="Times New Roman"/>
          <w:color w:val="000000" w:themeColor="text1"/>
          <w:sz w:val="28"/>
          <w:szCs w:val="28"/>
          <w:lang w:eastAsia="en-US"/>
        </w:rPr>
        <w:t xml:space="preserve"> позволяют сделать следующие общие выводы:</w:t>
      </w:r>
    </w:p>
    <w:p>
      <w:pPr>
        <w:pStyle w:val="Normal"/>
        <w:spacing w:lineRule="auto" w:line="360" w:before="0" w:after="0"/>
        <w:ind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contextualSpacing/>
        <w:jc w:val="both"/>
        <w:rPr>
          <w:rFonts w:ascii="Times New Roman" w:hAnsi="Times New Roman" w:eastAsia="Calibri" w:cs="Times New Roman"/>
          <w:b/>
          <w:b/>
          <w:color w:val="000000" w:themeColor="text1"/>
          <w:sz w:val="28"/>
          <w:szCs w:val="28"/>
          <w:lang w:eastAsia="en-US"/>
        </w:rPr>
      </w:pPr>
      <w:r>
        <w:rPr>
          <w:rFonts w:eastAsia="Calibri" w:cs="Times New Roman" w:ascii="Times New Roman" w:hAnsi="Times New Roman"/>
          <w:b/>
          <w:color w:val="000000" w:themeColor="text1"/>
          <w:sz w:val="28"/>
          <w:szCs w:val="28"/>
          <w:lang w:eastAsia="en-US"/>
        </w:rPr>
        <w:t>1. По открытости и доступности информации об организации культуры:</w:t>
      </w:r>
    </w:p>
    <w:p>
      <w:pPr>
        <w:pStyle w:val="Normal"/>
        <w:tabs>
          <w:tab w:val="left" w:pos="1134" w:leader="none"/>
        </w:tabs>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rPr>
        <w:t>1.1 </w:t>
        <w:tab/>
      </w:r>
      <w:r>
        <w:rPr>
          <w:rFonts w:eastAsia="Calibri" w:cs="Times New Roman" w:ascii="Times New Roman" w:hAnsi="Times New Roman"/>
          <w:color w:val="000000" w:themeColor="text1"/>
          <w:sz w:val="28"/>
          <w:szCs w:val="28"/>
          <w:lang w:eastAsia="en-US"/>
        </w:rPr>
        <w:t xml:space="preserve">Необходимо размещать на сайте больший объем документов, регламентирующих и характеризующих деятельность организации (учредительные документы, локальные нормативные акты, плановые и отчетные документы за соответствующие периоды времени). </w:t>
      </w:r>
    </w:p>
    <w:p>
      <w:pPr>
        <w:pStyle w:val="Normal"/>
        <w:tabs>
          <w:tab w:val="left" w:pos="1134" w:leader="none"/>
        </w:tabs>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sz w:val="28"/>
          <w:szCs w:val="28"/>
          <w:lang w:eastAsia="en-US"/>
        </w:rPr>
        <w:t>1.2</w:t>
      </w:r>
      <w:r>
        <w:rPr>
          <w:rFonts w:eastAsia="Calibri" w:cs="Times New Roman" w:ascii="Times New Roman" w:hAnsi="Times New Roman"/>
          <w:sz w:val="28"/>
          <w:szCs w:val="28"/>
          <w:lang w:val="en-US" w:eastAsia="en-US"/>
        </w:rPr>
        <w:t> </w:t>
      </w:r>
      <w:r>
        <w:rPr>
          <w:rFonts w:eastAsia="Calibri" w:cs="Times New Roman" w:ascii="Times New Roman" w:hAnsi="Times New Roman"/>
          <w:color w:val="000000" w:themeColor="text1"/>
          <w:sz w:val="28"/>
          <w:szCs w:val="28"/>
          <w:lang w:eastAsia="en-US"/>
        </w:rPr>
        <w:t>Желательно размещать на сайте подробное описание материально-технического обеспечения организации, ориентированное, в первую очередь, на получателей услуг.</w:t>
      </w:r>
    </w:p>
    <w:p>
      <w:pPr>
        <w:pStyle w:val="Normal"/>
        <w:spacing w:lineRule="auto" w:line="360" w:before="0" w:after="0"/>
        <w:ind w:firstLine="709"/>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1.3</w:t>
      </w:r>
      <w:r>
        <w:rPr>
          <w:rFonts w:eastAsia="Calibri" w:cs="Times New Roman" w:ascii="Times New Roman" w:hAnsi="Times New Roman"/>
          <w:sz w:val="28"/>
          <w:szCs w:val="28"/>
          <w:lang w:val="en-US" w:eastAsia="en-US"/>
        </w:rPr>
        <w:t> </w:t>
      </w:r>
      <w:r>
        <w:rPr>
          <w:rFonts w:eastAsia="Calibri" w:cs="Times New Roman" w:ascii="Times New Roman" w:hAnsi="Times New Roman"/>
          <w:sz w:val="28"/>
          <w:szCs w:val="28"/>
          <w:lang w:eastAsia="en-US"/>
        </w:rPr>
        <w:t>На официальном сайте организации отсутствуют отдельные способы осуществления дистанционной обратной связи и взаимодействия с получателями услуг:</w:t>
      </w:r>
    </w:p>
    <w:p>
      <w:pPr>
        <w:pStyle w:val="Normal"/>
        <w:spacing w:lineRule="auto" w:line="360" w:before="0" w:after="0"/>
        <w:ind w:firstLine="709"/>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а) Отсутствует раздел «Часто задаваемые вопросы».</w:t>
      </w:r>
    </w:p>
    <w:p>
      <w:pPr>
        <w:pStyle w:val="Normal"/>
        <w:spacing w:lineRule="auto" w:line="360" w:before="0" w:after="0"/>
        <w:ind w:firstLine="709"/>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б) Отсутствует электронный сервис «Получение консультации по оказываемым услугам».</w:t>
      </w:r>
    </w:p>
    <w:p>
      <w:pPr>
        <w:pStyle w:val="Normal"/>
        <w:spacing w:lineRule="auto" w:line="360" w:before="0" w:after="0"/>
        <w:ind w:firstLine="709"/>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в) Отсутствует техническая возможность выражения получателями услуг мнения о качестве оказания услуг (анкета для опроса граждан или гиперссылка на нее).</w:t>
      </w:r>
    </w:p>
    <w:p>
      <w:pPr>
        <w:pStyle w:val="Normal"/>
        <w:spacing w:lineRule="auto" w:line="360" w:before="0" w:after="0"/>
        <w:ind w:firstLine="709"/>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1.4 В рамках этого раздела на основе изучения мнения получателей услуг осуществлена оценка доли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p>
      <w:pPr>
        <w:pStyle w:val="Normal"/>
        <w:tabs>
          <w:tab w:val="left" w:pos="1134" w:leader="none"/>
        </w:tabs>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1.5</w:t>
      </w:r>
      <w:r>
        <w:rPr>
          <w:rFonts w:cs="Times New Roman" w:ascii="Times New Roman" w:hAnsi="Times New Roman"/>
          <w:color w:val="000000" w:themeColor="text1"/>
          <w:sz w:val="28"/>
          <w:szCs w:val="28"/>
          <w:lang w:val="en-US"/>
        </w:rPr>
        <w:t> </w:t>
      </w:r>
      <w:r>
        <w:rPr>
          <w:rFonts w:cs="Times New Roman" w:ascii="Times New Roman" w:hAnsi="Times New Roman"/>
          <w:color w:val="000000" w:themeColor="text1"/>
          <w:sz w:val="28"/>
          <w:szCs w:val="28"/>
        </w:rPr>
        <w:t>Анализ результатов восприятия получателями услуг открытости, полноты и доступности информации о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показывает, что респонденты высоко оценивают изучаемые параметры по отношению к информационным стендам и официальному сайту организации:</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открытостью, полнотой и доступностью информации о деятельности организации, размещенной на информационных стендах (оценка удовлетворенности – 98,4%; средняя оценка параметра – 98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открытостью, полнотой и доступностью информации о деятельности организации, размещенной на сайте в сети «Интернет» (оценка удовлетворенности – 98,6%; средняя оценка параметра – 99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color w:val="000000" w:themeColor="text1"/>
          <w:sz w:val="28"/>
          <w:szCs w:val="28"/>
          <w:lang w:eastAsia="en-US"/>
        </w:rPr>
        <w:t>1.6 Анализ интегральных показателей МБУК «</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 показывает, что в отношении открытости и доступности информации зафиксированные оценки параметров находятся на хорошем и высоком уровне:</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1.1 – 23,4 балла из 30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1.2 – 27 баллов из 30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1.3 – 39,4 балла из 40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eastAsiaTheme="minorHAnsi"/>
          <w:color w:val="000000" w:themeColor="text1"/>
          <w:sz w:val="28"/>
          <w:szCs w:val="28"/>
          <w:lang w:eastAsia="en-US"/>
        </w:rPr>
        <w:t xml:space="preserve">Таким образом, </w:t>
      </w:r>
      <w:r>
        <w:rPr>
          <w:rFonts w:cs="Times New Roman" w:ascii="Times New Roman" w:hAnsi="Times New Roman"/>
          <w:color w:val="000000" w:themeColor="text1"/>
          <w:sz w:val="28"/>
          <w:szCs w:val="28"/>
        </w:rPr>
        <w:t xml:space="preserve">МБУК </w:t>
      </w:r>
      <w:r>
        <w:rPr>
          <w:rFonts w:eastAsia="Calibri" w:cs="Times New Roman" w:ascii="Times New Roman" w:hAnsi="Times New Roman"/>
          <w:color w:val="000000" w:themeColor="text1"/>
          <w:sz w:val="28"/>
          <w:szCs w:val="28"/>
          <w:lang w:eastAsia="en-US"/>
        </w:rPr>
        <w:t>«</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w:t>
      </w:r>
      <w:r>
        <w:rPr>
          <w:rFonts w:cs="Times New Roman" w:ascii="Times New Roman" w:hAnsi="Times New Roman"/>
          <w:color w:val="000000" w:themeColor="text1"/>
          <w:sz w:val="28"/>
          <w:szCs w:val="28"/>
        </w:rPr>
        <w:t xml:space="preserve"> </w:t>
      </w:r>
      <w:r>
        <w:rPr>
          <w:rFonts w:eastAsia="Calibri" w:cs="Times New Roman" w:ascii="Times New Roman" w:hAnsi="Times New Roman" w:eastAsiaTheme="minorHAnsi"/>
          <w:color w:val="000000" w:themeColor="text1"/>
          <w:sz w:val="28"/>
          <w:szCs w:val="28"/>
          <w:lang w:eastAsia="en-US"/>
        </w:rPr>
        <w:t xml:space="preserve">показало отличный результат по показателям данного раздела </w:t>
      </w:r>
      <w:r>
        <w:rPr>
          <w:rFonts w:cs="Times New Roman" w:ascii="Times New Roman" w:hAnsi="Times New Roman"/>
          <w:color w:val="000000" w:themeColor="text1"/>
          <w:sz w:val="28"/>
          <w:szCs w:val="28"/>
        </w:rPr>
        <w:t>(90 баллов из 100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Times New Roman" w:cs="Times New Roman"/>
          <w:b/>
          <w:b/>
          <w:bCs/>
          <w:color w:val="000000" w:themeColor="text1"/>
          <w:sz w:val="28"/>
          <w:szCs w:val="28"/>
          <w:lang w:eastAsia="en-US"/>
        </w:rPr>
      </w:pPr>
      <w:r>
        <w:rPr>
          <w:rFonts w:eastAsia="Times New Roman" w:cs="Times New Roman" w:ascii="Times New Roman" w:hAnsi="Times New Roman"/>
          <w:b/>
          <w:bCs/>
          <w:color w:val="000000" w:themeColor="text1"/>
          <w:sz w:val="28"/>
          <w:szCs w:val="28"/>
          <w:lang w:eastAsia="en-US"/>
        </w:rPr>
        <w:t>2. По комфортности условий</w:t>
      </w:r>
      <w:r>
        <w:rPr>
          <w:color w:val="000000" w:themeColor="text1"/>
        </w:rPr>
        <w:t xml:space="preserve"> </w:t>
      </w:r>
      <w:r>
        <w:rPr>
          <w:rFonts w:eastAsia="Times New Roman" w:cs="Times New Roman" w:ascii="Times New Roman" w:hAnsi="Times New Roman"/>
          <w:b/>
          <w:bCs/>
          <w:color w:val="000000" w:themeColor="text1"/>
          <w:sz w:val="28"/>
          <w:szCs w:val="28"/>
          <w:lang w:eastAsia="en-US"/>
        </w:rPr>
        <w:t>предоставления услуг:</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2.1 Значения параметров по данному разделу (п. 2.1) демонстрируют отсутствие дефицитов / недостатков по показателям, характеризующим комфортность условий предоставления услуг.</w:t>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color w:val="000000" w:themeColor="text1"/>
          <w:sz w:val="28"/>
          <w:szCs w:val="28"/>
          <w:lang w:eastAsia="en-US"/>
        </w:rPr>
        <w:t>2.2 В</w:t>
      </w:r>
      <w:r>
        <w:rPr>
          <w:rFonts w:cs="Times New Roman" w:ascii="Times New Roman" w:hAnsi="Times New Roman"/>
          <w:color w:val="000000" w:themeColor="text1"/>
          <w:sz w:val="28"/>
          <w:szCs w:val="28"/>
        </w:rPr>
        <w:t xml:space="preserve"> рамках этого раздела на основе изучения мнения получателей услуг осуществлена оценка доли получателей услуг, удовлетворенных комфортностью условий предоставления услуг 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color w:val="000000" w:themeColor="text1"/>
          <w:sz w:val="28"/>
          <w:szCs w:val="28"/>
          <w:lang w:eastAsia="en-US"/>
        </w:rPr>
        <w:t xml:space="preserve">2.3 Анализ результатов восприятия получателями услуг комфортности условий предоставления услуг в </w:t>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показывает, что респонденты высоко оценивают изучаемые параметры (доля удовлетворенных получателей услуг, средние значения оценки параметров):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наличием комфортной зоны отдыха (ожидания) (оценка удовлетворенности – 98,7%; средняя оценка параметра – 99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наличием и понятностью навигации внутри организации (оценка удовлетворенности – 98,4%; средняя оценка параметра – 98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доступностью питьевой воды (оценка удовлетворенности – 98,6%; средняя оценка параметра – 99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наличием и доступностью санитарно-гигиенических помещений (оценка удовлетворенности – 98,7%; средняя оценка параметра – 99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санитарным состоянием помещений организации (оценка удовлетворенности – 99,2%; средняя оценка параметра – 99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удовлетворенность возможностью бронирования услуги/доступностью записи на получение услуги (по телефону, с использованием сети «Интернет» на официальном сайте организации, при личном посещении и пр.) (оценка удовлетворенности – 98,4%; средняя оценка параметра – 98 баллов).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2.4 Анализ интегральных показателей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показывает, что в отношении комфортности условий предоставления услуг зафиксированные оценки параметров находятся на высоком уровне:</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по показателю 2.1 – 50 баллов из 50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по показателю 2.3 – 49,5 балла из 50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Таким образом,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показало отличный результат по показателям данного раздела (100 баллов из 100 возможных).</w:t>
      </w:r>
    </w:p>
    <w:p>
      <w:pPr>
        <w:pStyle w:val="Normal"/>
        <w:spacing w:lineRule="auto" w:line="360" w:before="0" w:after="0"/>
        <w:ind w:firstLine="709"/>
        <w:jc w:val="both"/>
        <w:rPr>
          <w:rFonts w:ascii="Times New Roman" w:hAnsi="Times New Roman" w:eastAsia="Times New Roman" w:cs="Times New Roman"/>
          <w:bCs/>
          <w:color w:val="000000" w:themeColor="text1"/>
          <w:sz w:val="28"/>
          <w:szCs w:val="28"/>
          <w:lang w:eastAsia="en-US"/>
        </w:rPr>
      </w:pPr>
      <w:r>
        <w:rPr>
          <w:rFonts w:eastAsia="Times New Roman" w:cs="Times New Roman" w:ascii="Times New Roman" w:hAnsi="Times New Roman"/>
          <w:bCs/>
          <w:color w:val="000000" w:themeColor="text1"/>
          <w:sz w:val="28"/>
          <w:szCs w:val="28"/>
          <w:lang w:eastAsia="en-US"/>
        </w:rPr>
      </w:r>
    </w:p>
    <w:p>
      <w:pPr>
        <w:pStyle w:val="Normal"/>
        <w:spacing w:lineRule="auto" w:line="360" w:before="0" w:after="0"/>
        <w:ind w:firstLine="709"/>
        <w:jc w:val="both"/>
        <w:rPr>
          <w:rFonts w:ascii="Times New Roman" w:hAnsi="Times New Roman" w:eastAsia="Times New Roman" w:cs="Times New Roman"/>
          <w:b/>
          <w:b/>
          <w:bCs/>
          <w:color w:val="000000" w:themeColor="text1"/>
          <w:sz w:val="28"/>
          <w:szCs w:val="28"/>
          <w:lang w:eastAsia="en-US"/>
        </w:rPr>
      </w:pPr>
      <w:r>
        <w:rPr>
          <w:rFonts w:eastAsia="Times New Roman" w:cs="Times New Roman" w:ascii="Times New Roman" w:hAnsi="Times New Roman"/>
          <w:b/>
          <w:bCs/>
          <w:color w:val="000000" w:themeColor="text1"/>
          <w:sz w:val="28"/>
          <w:szCs w:val="28"/>
          <w:lang w:eastAsia="en-US"/>
        </w:rPr>
        <w:t>3. По доступности услуг для инвалидов: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xml:space="preserve">3.1. По результатам мониторинга зафиксированы следующие недостатки (дефициты) </w:t>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в обеспечении доступности услуг для инвалидов:</w:t>
      </w:r>
    </w:p>
    <w:p>
      <w:pPr>
        <w:pStyle w:val="Normal"/>
        <w:tabs>
          <w:tab w:val="left" w:pos="600" w:leader="none"/>
        </w:tabs>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1) Отсутствуют выделенные стоянки для автотранспортных средств инвалидов.</w:t>
      </w:r>
    </w:p>
    <w:p>
      <w:pPr>
        <w:pStyle w:val="Normal"/>
        <w:tabs>
          <w:tab w:val="left" w:pos="600" w:leader="none"/>
        </w:tabs>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2) Не предусмотрено наличие сменных кресел-колясок.</w:t>
      </w:r>
    </w:p>
    <w:p>
      <w:pPr>
        <w:pStyle w:val="Normal"/>
        <w:tabs>
          <w:tab w:val="left" w:pos="600" w:leader="none"/>
        </w:tabs>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3) Отсутствуют специально оборудованные санитарно-гигиенические помещения.</w:t>
      </w:r>
    </w:p>
    <w:p>
      <w:pPr>
        <w:pStyle w:val="Normal"/>
        <w:tabs>
          <w:tab w:val="left" w:pos="600" w:leader="none"/>
        </w:tabs>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4) Не предусмотрено дублирование звуковой и зрительной информации для инвалидов по слуху и зрению.</w:t>
      </w:r>
    </w:p>
    <w:p>
      <w:pPr>
        <w:pStyle w:val="Normal"/>
        <w:tabs>
          <w:tab w:val="left" w:pos="600" w:leader="none"/>
        </w:tabs>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5) Отсутствует дублирование надписей, знаков и иной текстовой и графической информации знаками, выполненными рельефно-точечным шрифтом Брайля.</w:t>
      </w:r>
    </w:p>
    <w:p>
      <w:pPr>
        <w:pStyle w:val="Normal"/>
        <w:tabs>
          <w:tab w:val="left" w:pos="600" w:leader="none"/>
        </w:tabs>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6) Не предусмотрена возможность предоставления инвалидам по слуху (слуху и зрению) услуг сурдопереводчика (тифлосурдопереводчика).</w:t>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color w:val="000000" w:themeColor="text1"/>
          <w:sz w:val="28"/>
          <w:szCs w:val="28"/>
          <w:lang w:eastAsia="en-US"/>
        </w:rPr>
        <w:t xml:space="preserve">3.2 В рамках этого раздела на основе изучения мнения респондентов осуществлена оценка доли получателей услуг, удовлетворенных доступностью услуг для инвалидов в организациях МБУК </w:t>
      </w:r>
      <w:r>
        <w:rPr>
          <w:rFonts w:cs="Times New Roman" w:ascii="Times New Roman" w:hAnsi="Times New Roman"/>
          <w:color w:val="000000" w:themeColor="text1"/>
          <w:sz w:val="28"/>
          <w:szCs w:val="28"/>
        </w:rPr>
        <w:t>«</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r>
        <w:rPr>
          <w:rFonts w:eastAsia="Calibri" w:cs="Times New Roman" w:ascii="Times New Roman" w:hAnsi="Times New Roman"/>
          <w:color w:val="000000" w:themeColor="text1"/>
          <w:sz w:val="28"/>
          <w:szCs w:val="28"/>
          <w:lang w:eastAsia="en-US"/>
        </w:rPr>
        <w:t>.</w:t>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color w:val="000000" w:themeColor="text1"/>
          <w:sz w:val="28"/>
          <w:szCs w:val="28"/>
          <w:lang w:eastAsia="en-US"/>
        </w:rPr>
        <w:t>3.3 </w:t>
      </w:r>
      <w:r>
        <w:rPr>
          <w:rFonts w:cs="Times New Roman" w:ascii="Times New Roman" w:hAnsi="Times New Roman"/>
          <w:color w:val="000000" w:themeColor="text1"/>
          <w:sz w:val="28"/>
          <w:szCs w:val="28"/>
        </w:rPr>
        <w:t>Анализ результатов восприятия получателями услуг доступности услуг для инвалидов в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показывает, что респонденты часть изучаемых параметров оценивают на низком уровне, а часть – на среднем и высоком уровне (доля удовлетворенных получателей услуг, средние значения оценки параметров). </w:t>
      </w:r>
      <w:r>
        <w:rPr>
          <w:rFonts w:ascii="Times New Roman" w:hAnsi="Times New Roman"/>
          <w:color w:val="000000" w:themeColor="text1"/>
          <w:sz w:val="28"/>
          <w:szCs w:val="28"/>
        </w:rPr>
        <w:t xml:space="preserve">Наблюдается значительный разброс значений </w:t>
      </w:r>
      <w:r>
        <w:rPr>
          <w:rFonts w:cs="Times New Roman" w:ascii="Times New Roman" w:hAnsi="Times New Roman"/>
          <w:color w:val="000000" w:themeColor="text1"/>
          <w:sz w:val="28"/>
          <w:szCs w:val="28"/>
        </w:rPr>
        <w:t>удовлетворенности</w:t>
      </w:r>
      <w:r>
        <w:rPr>
          <w:rFonts w:ascii="Times New Roman" w:hAnsi="Times New Roman"/>
          <w:color w:val="000000" w:themeColor="text1"/>
          <w:sz w:val="28"/>
          <w:szCs w:val="28"/>
        </w:rPr>
        <w:t xml:space="preserve"> потребителей по параметрам п. 3.3, а также зафиксированы </w:t>
      </w:r>
      <w:r>
        <w:rPr>
          <w:rFonts w:eastAsia="Times New Roman" w:cs="Times New Roman" w:ascii="Times New Roman" w:hAnsi="Times New Roman"/>
          <w:color w:val="000000" w:themeColor="text1"/>
          <w:sz w:val="28"/>
          <w:szCs w:val="28"/>
        </w:rPr>
        <w:t>низкие и нулевые значения</w:t>
      </w:r>
      <w:r>
        <w:rPr>
          <w:rFonts w:ascii="Times New Roman" w:hAnsi="Times New Roman"/>
          <w:color w:val="000000" w:themeColor="text1"/>
          <w:sz w:val="28"/>
          <w:szCs w:val="28"/>
        </w:rPr>
        <w:t xml:space="preserve"> по ряду параметров</w:t>
      </w:r>
      <w:r>
        <w:rPr>
          <w:rFonts w:cs="Times New Roman" w:ascii="Times New Roman" w:hAnsi="Times New Roman"/>
          <w:color w:val="000000" w:themeColor="text1"/>
          <w:sz w:val="28"/>
          <w:szCs w:val="28"/>
        </w:rPr>
        <w:t xml:space="preserve"> (см. таблицы 5.3 и 5.4).</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3.4 Анализ интегральных показателей в </w:t>
      </w:r>
      <w:r>
        <w:rPr>
          <w:rFonts w:eastAsia="Calibri" w:cs="Times New Roman" w:ascii="Times New Roman" w:hAnsi="Times New Roman"/>
          <w:color w:val="000000" w:themeColor="text1"/>
          <w:sz w:val="28"/>
          <w:szCs w:val="28"/>
          <w:lang w:eastAsia="en-US"/>
        </w:rPr>
        <w:t>МБУК «</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w:t>
      </w:r>
      <w:r>
        <w:rPr>
          <w:rFonts w:cs="Times New Roman" w:ascii="Times New Roman" w:hAnsi="Times New Roman"/>
          <w:color w:val="000000" w:themeColor="text1"/>
          <w:sz w:val="28"/>
          <w:szCs w:val="28"/>
        </w:rPr>
        <w:t xml:space="preserve"> показывает, что в отношении доступности услуг для инвалидов зафиксированные оценки параметров в основном находятся на удовлетворительном уровне:</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по показателю 3.1 – 12 баллов из 30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по показателю 3.2 – 24 балла из 40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по показателю 3.3 – 20,4 балла из 30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Интегральная оценка по данному набору параметров зафиксирована на уровне 56 баллов из 100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Times New Roman" w:cs="Times New Roman"/>
          <w:b/>
          <w:b/>
          <w:bCs/>
          <w:color w:val="000000" w:themeColor="text1"/>
          <w:sz w:val="28"/>
          <w:szCs w:val="28"/>
          <w:lang w:eastAsia="en-US"/>
        </w:rPr>
      </w:pPr>
      <w:r>
        <w:rPr>
          <w:rFonts w:eastAsia="Times New Roman" w:cs="Times New Roman" w:ascii="Times New Roman" w:hAnsi="Times New Roman"/>
          <w:b/>
          <w:bCs/>
          <w:color w:val="000000" w:themeColor="text1"/>
          <w:sz w:val="28"/>
          <w:szCs w:val="28"/>
          <w:lang w:eastAsia="en-US"/>
        </w:rPr>
        <w:t>4. По доброжелательности, вежливости работников организации:</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4.1 Анализ результатов восприятия получателями услуг доброжелательности, вежливости работников МБУК </w:t>
      </w:r>
      <w:r>
        <w:rPr>
          <w:rFonts w:eastAsia="Calibri" w:cs="Times New Roman" w:ascii="Times New Roman" w:hAnsi="Times New Roman"/>
          <w:color w:val="000000" w:themeColor="text1"/>
          <w:sz w:val="28"/>
          <w:szCs w:val="28"/>
          <w:lang w:eastAsia="en-US"/>
        </w:rPr>
        <w:t>«</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показывает, что респонденты высоко оценивают изучаемые параметры (доля удовлетворенных получателей услуг, средние значения оценки параметров):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w:t>
      </w:r>
      <w:r>
        <w:rPr>
          <w:rFonts w:eastAsia="Calibri" w:cs="Times New Roman" w:ascii="Times New Roman" w:hAnsi="Times New Roman"/>
          <w:color w:val="000000" w:themeColor="text1"/>
          <w:sz w:val="28"/>
          <w:szCs w:val="28"/>
          <w:lang w:val="en-US" w:eastAsia="en-US"/>
        </w:rPr>
        <w:t> </w:t>
      </w:r>
      <w:r>
        <w:rPr>
          <w:rFonts w:eastAsia="Calibri" w:cs="Times New Roman" w:ascii="Times New Roman" w:hAnsi="Times New Roman"/>
          <w:color w:val="000000" w:themeColor="text1"/>
          <w:sz w:val="28"/>
          <w:szCs w:val="28"/>
          <w:lang w:eastAsia="en-US"/>
        </w:rPr>
        <w:t>доброжелательность, вежливость работников организации, обеспечивающих первичный контакт и информирование получателя услуги (оценка удовлетворенности – 98,4%; средняя оценка параметра – 98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w:t>
      </w:r>
      <w:r>
        <w:rPr>
          <w:rFonts w:eastAsia="Calibri" w:cs="Times New Roman" w:ascii="Times New Roman" w:hAnsi="Times New Roman"/>
          <w:color w:val="000000" w:themeColor="text1"/>
          <w:sz w:val="28"/>
          <w:szCs w:val="28"/>
          <w:lang w:val="en-US" w:eastAsia="en-US"/>
        </w:rPr>
        <w:t> </w:t>
      </w:r>
      <w:r>
        <w:rPr>
          <w:rFonts w:eastAsia="Calibri" w:cs="Times New Roman" w:ascii="Times New Roman" w:hAnsi="Times New Roman"/>
          <w:color w:val="000000" w:themeColor="text1"/>
          <w:sz w:val="28"/>
          <w:szCs w:val="28"/>
          <w:lang w:eastAsia="en-US"/>
        </w:rPr>
        <w:t>доброжелательность, вежливость работников организации, обеспечивающих непосредственное оказание услуги при обращении в организацию (оценка удовлетворенности – 98,7%; средняя оценка параметра – 99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w:t>
      </w:r>
      <w:r>
        <w:rPr>
          <w:rFonts w:eastAsia="Calibri" w:cs="Times New Roman" w:ascii="Times New Roman" w:hAnsi="Times New Roman"/>
          <w:color w:val="000000" w:themeColor="text1"/>
          <w:sz w:val="28"/>
          <w:szCs w:val="28"/>
          <w:lang w:val="en-US" w:eastAsia="en-US"/>
        </w:rPr>
        <w:t> </w:t>
      </w:r>
      <w:r>
        <w:rPr>
          <w:rFonts w:eastAsia="Calibri" w:cs="Times New Roman" w:ascii="Times New Roman" w:hAnsi="Times New Roman"/>
          <w:color w:val="000000" w:themeColor="text1"/>
          <w:sz w:val="28"/>
          <w:szCs w:val="28"/>
          <w:lang w:eastAsia="en-US"/>
        </w:rPr>
        <w:t>доброжелательность, вежливость работников организации при использовании дистанционных форм взаимодействия (оценка удовлетворенности – 98,7%; средняя оценка параметра – 99,0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4.2</w:t>
      </w:r>
      <w:r>
        <w:rPr>
          <w:rFonts w:eastAsia="Calibri" w:cs="Times New Roman" w:ascii="Times New Roman" w:hAnsi="Times New Roman"/>
          <w:color w:val="000000" w:themeColor="text1"/>
          <w:sz w:val="28"/>
          <w:szCs w:val="28"/>
          <w:lang w:val="en-US" w:eastAsia="en-US"/>
        </w:rPr>
        <w:t> </w:t>
      </w:r>
      <w:r>
        <w:rPr>
          <w:rFonts w:eastAsia="Calibri" w:cs="Times New Roman" w:ascii="Times New Roman" w:hAnsi="Times New Roman"/>
          <w:color w:val="000000" w:themeColor="text1"/>
          <w:sz w:val="28"/>
          <w:szCs w:val="28"/>
          <w:lang w:eastAsia="en-US"/>
        </w:rPr>
        <w:t xml:space="preserve">Анализ интегральных показателей </w:t>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показывает, что в отношении доброжелательности и вежливости работников зафиксированные оценки параметров находятся на высоком уровне:</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4.1 – 39,2 балла из 40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4.2 – 39,6 балла из 40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4.3 – 19,8 балла из 20 возможных.</w:t>
      </w:r>
    </w:p>
    <w:p>
      <w:pPr>
        <w:pStyle w:val="Normal"/>
        <w:spacing w:lineRule="auto" w:line="360" w:before="0" w:after="0"/>
        <w:ind w:firstLine="709"/>
        <w:jc w:val="both"/>
        <w:rPr>
          <w:rFonts w:ascii="Times New Roman" w:hAnsi="Times New Roman" w:cs="Times New Roman"/>
          <w:color w:val="000000" w:themeColor="text1"/>
          <w:sz w:val="28"/>
          <w:szCs w:val="28"/>
        </w:rPr>
      </w:pPr>
      <w:r>
        <w:rPr>
          <w:rFonts w:eastAsia="Calibri" w:cs="Times New Roman" w:ascii="Times New Roman" w:hAnsi="Times New Roman" w:eastAsiaTheme="minorHAnsi"/>
          <w:color w:val="000000" w:themeColor="text1"/>
          <w:sz w:val="28"/>
          <w:szCs w:val="28"/>
          <w:lang w:eastAsia="en-US"/>
        </w:rPr>
        <w:t xml:space="preserve">Таким образом, </w:t>
      </w:r>
      <w:r>
        <w:rPr>
          <w:rFonts w:cs="Times New Roman" w:ascii="Times New Roman" w:hAnsi="Times New Roman"/>
          <w:color w:val="000000" w:themeColor="text1"/>
          <w:sz w:val="28"/>
          <w:szCs w:val="28"/>
        </w:rPr>
        <w:t>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 xml:space="preserve">» </w:t>
      </w:r>
      <w:r>
        <w:rPr>
          <w:rFonts w:eastAsia="Calibri" w:cs="Times New Roman" w:ascii="Times New Roman" w:hAnsi="Times New Roman" w:eastAsiaTheme="minorHAnsi"/>
          <w:color w:val="000000" w:themeColor="text1"/>
          <w:sz w:val="28"/>
          <w:szCs w:val="28"/>
          <w:lang w:eastAsia="en-US"/>
        </w:rPr>
        <w:t xml:space="preserve">показало отличный результат по показателям данного раздела – </w:t>
      </w:r>
      <w:r>
        <w:rPr>
          <w:rFonts w:cs="Times New Roman" w:ascii="Times New Roman" w:hAnsi="Times New Roman"/>
          <w:color w:val="000000" w:themeColor="text1"/>
          <w:sz w:val="28"/>
          <w:szCs w:val="28"/>
        </w:rPr>
        <w:t>99 баллов из 100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eastAsia="Times New Roman" w:cs="Times New Roman"/>
          <w:b/>
          <w:b/>
          <w:bCs/>
          <w:color w:val="000000" w:themeColor="text1"/>
          <w:sz w:val="28"/>
          <w:szCs w:val="28"/>
          <w:lang w:eastAsia="en-US"/>
        </w:rPr>
      </w:pPr>
      <w:r>
        <w:rPr>
          <w:rFonts w:eastAsia="Times New Roman" w:cs="Times New Roman" w:ascii="Times New Roman" w:hAnsi="Times New Roman"/>
          <w:b/>
          <w:bCs/>
          <w:color w:val="000000" w:themeColor="text1"/>
          <w:sz w:val="28"/>
          <w:szCs w:val="28"/>
          <w:lang w:eastAsia="en-US"/>
        </w:rPr>
        <w:t>5. По удовлетворенности условиями оказания услуг:</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5.1 Результаты опроса по разделу «удовлетворенность условиями оказания услуг» в МБУК </w:t>
      </w:r>
      <w:r>
        <w:rPr>
          <w:rFonts w:eastAsia="Calibri" w:cs="Times New Roman" w:ascii="Times New Roman" w:hAnsi="Times New Roman"/>
          <w:color w:val="000000" w:themeColor="text1"/>
          <w:sz w:val="28"/>
          <w:szCs w:val="28"/>
          <w:lang w:eastAsia="en-US"/>
        </w:rPr>
        <w:t>«</w:t>
      </w:r>
      <w:r>
        <w:rPr>
          <w:rFonts w:eastAsia="Times New Roman" w:cs="Times New Roman" w:ascii="Times New Roman" w:hAnsi="Times New Roman"/>
          <w:color w:val="000000" w:themeColor="text1"/>
          <w:sz w:val="28"/>
          <w:szCs w:val="28"/>
        </w:rPr>
        <w:t>Савдянский сельский Дом культуры</w:t>
      </w:r>
      <w:r>
        <w:rPr>
          <w:rFonts w:eastAsia="Calibri" w:cs="Times New Roman" w:ascii="Times New Roman" w:hAnsi="Times New Roman"/>
          <w:color w:val="000000" w:themeColor="text1"/>
          <w:sz w:val="28"/>
          <w:szCs w:val="28"/>
          <w:lang w:eastAsia="en-US"/>
        </w:rPr>
        <w:t xml:space="preserve">» </w:t>
      </w:r>
      <w:r>
        <w:rPr>
          <w:rFonts w:cs="Times New Roman" w:ascii="Times New Roman" w:hAnsi="Times New Roman"/>
          <w:color w:val="000000" w:themeColor="text1"/>
          <w:sz w:val="28"/>
          <w:szCs w:val="28"/>
        </w:rPr>
        <w:t>показывают, что респонденты высоко оценивают изучаемые параметры (доля удовлетворенных получателей услуг, средние значения оценки параметров):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w:t>
      </w:r>
      <w:r>
        <w:rPr>
          <w:rFonts w:eastAsia="Calibri" w:cs="Times New Roman" w:ascii="Times New Roman" w:hAnsi="Times New Roman"/>
          <w:color w:val="000000" w:themeColor="text1"/>
          <w:sz w:val="28"/>
          <w:szCs w:val="28"/>
          <w:lang w:val="en-US" w:eastAsia="en-US"/>
        </w:rPr>
        <w:t> </w:t>
      </w:r>
      <w:r>
        <w:rPr>
          <w:rFonts w:eastAsia="Calibri" w:cs="Times New Roman" w:ascii="Times New Roman" w:hAnsi="Times New Roman"/>
          <w:color w:val="000000" w:themeColor="text1"/>
          <w:sz w:val="28"/>
          <w:szCs w:val="28"/>
          <w:lang w:eastAsia="en-US"/>
        </w:rPr>
        <w:t>готовность рекомендовать организацию родственникам и знакомым (оценка удовлетворенности – 96,8%; средняя оценка параметра – 97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w:t>
      </w:r>
      <w:r>
        <w:rPr>
          <w:rFonts w:eastAsia="Calibri" w:cs="Times New Roman" w:ascii="Times New Roman" w:hAnsi="Times New Roman"/>
          <w:color w:val="000000" w:themeColor="text1"/>
          <w:sz w:val="28"/>
          <w:szCs w:val="28"/>
          <w:lang w:val="en-US" w:eastAsia="en-US"/>
        </w:rPr>
        <w:t> </w:t>
      </w:r>
      <w:r>
        <w:rPr>
          <w:rFonts w:eastAsia="Calibri" w:cs="Times New Roman" w:ascii="Times New Roman" w:hAnsi="Times New Roman"/>
          <w:color w:val="000000" w:themeColor="text1"/>
          <w:sz w:val="28"/>
          <w:szCs w:val="28"/>
          <w:lang w:eastAsia="en-US"/>
        </w:rPr>
        <w:t>удовлетворенность графиком работы организации (оценка удовлетворенности – 97,9%; средняя оценка параметра – 98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w:t>
      </w:r>
      <w:r>
        <w:rPr>
          <w:rFonts w:eastAsia="Calibri" w:cs="Times New Roman" w:ascii="Times New Roman" w:hAnsi="Times New Roman"/>
          <w:color w:val="000000" w:themeColor="text1"/>
          <w:sz w:val="28"/>
          <w:szCs w:val="28"/>
          <w:lang w:val="en-US" w:eastAsia="en-US"/>
        </w:rPr>
        <w:t> </w:t>
      </w:r>
      <w:r>
        <w:rPr>
          <w:rFonts w:eastAsia="Calibri" w:cs="Times New Roman" w:ascii="Times New Roman" w:hAnsi="Times New Roman"/>
          <w:color w:val="000000" w:themeColor="text1"/>
          <w:sz w:val="28"/>
          <w:szCs w:val="28"/>
          <w:lang w:eastAsia="en-US"/>
        </w:rPr>
        <w:t>удовлетворенность в целом условиями оказания услуг в организации (оценка удовлетворенности – 98,1%; средняя оценка параметра – 98 баллов).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5.2 Анализ интегральных показателей МБУК «</w:t>
      </w:r>
      <w:r>
        <w:rPr>
          <w:rFonts w:eastAsia="Times New Roman" w:cs="Times New Roman" w:ascii="Times New Roman" w:hAnsi="Times New Roman"/>
          <w:color w:val="000000" w:themeColor="text1"/>
          <w:sz w:val="28"/>
          <w:szCs w:val="28"/>
        </w:rPr>
        <w:t>Савдянский сельский Дом культуры</w:t>
      </w:r>
      <w:r>
        <w:rPr>
          <w:rFonts w:cs="Times New Roman" w:ascii="Times New Roman" w:hAnsi="Times New Roman"/>
          <w:color w:val="000000" w:themeColor="text1"/>
          <w:sz w:val="28"/>
          <w:szCs w:val="28"/>
        </w:rPr>
        <w:t>»</w:t>
      </w:r>
      <w:r>
        <w:rPr>
          <w:rFonts w:eastAsia="Calibri" w:cs="Times New Roman" w:ascii="Times New Roman" w:hAnsi="Times New Roman"/>
          <w:color w:val="000000" w:themeColor="text1"/>
          <w:sz w:val="28"/>
          <w:szCs w:val="28"/>
          <w:lang w:eastAsia="en-US"/>
        </w:rPr>
        <w:t xml:space="preserve"> показывает, что в отношении удовлетворенности условиями оказания услуг зафиксированные оценки параметров находятся на высоком уровне:</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5.1 – 29,1 балла из 30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5.2 – 19,6 балла из 20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по показателю 5.3 – 49 баллов из 50 возможных.</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Интегральная оценка по данному набору параметров зафиксирована на высоком уровне – 98 баллов из 100 возможных.</w:t>
      </w:r>
    </w:p>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Таким образом, по данным социологического опроса, потребители услуг:</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w:t>
      </w:r>
      <w:r>
        <w:rPr>
          <w:rFonts w:cs="Times New Roman" w:ascii="Times New Roman" w:hAnsi="Times New Roman"/>
          <w:color w:val="000000" w:themeColor="text1"/>
          <w:sz w:val="28"/>
          <w:szCs w:val="28"/>
          <w:lang w:val="en-US"/>
        </w:rPr>
        <w:t> </w:t>
      </w:r>
      <w:r>
        <w:rPr>
          <w:rFonts w:cs="Times New Roman" w:ascii="Times New Roman" w:hAnsi="Times New Roman"/>
          <w:color w:val="000000" w:themeColor="text1"/>
          <w:sz w:val="28"/>
          <w:szCs w:val="28"/>
        </w:rPr>
        <w:t>на высоком уровне оценивают открытость и доступность информации об организации культуры, а также доброжелательность и вежливость работников организации;</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w:t>
      </w:r>
      <w:r>
        <w:rPr>
          <w:rFonts w:cs="Times New Roman" w:ascii="Times New Roman" w:hAnsi="Times New Roman"/>
          <w:color w:val="000000" w:themeColor="text1"/>
          <w:sz w:val="28"/>
          <w:szCs w:val="28"/>
          <w:lang w:val="en-US"/>
        </w:rPr>
        <w:t> </w:t>
      </w:r>
      <w:r>
        <w:rPr>
          <w:rFonts w:cs="Times New Roman" w:ascii="Times New Roman" w:hAnsi="Times New Roman"/>
          <w:color w:val="000000" w:themeColor="text1"/>
          <w:sz w:val="28"/>
          <w:szCs w:val="28"/>
        </w:rPr>
        <w:t>на удовлетворительном уровне оценивают доступность в организации культуры услуг для инвалидов;</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на высоком уровне оценивают комфортность условий предоставления услуг;</w:t>
      </w:r>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w:t>
      </w:r>
      <w:r>
        <w:rPr>
          <w:rFonts w:cs="Times New Roman" w:ascii="Times New Roman" w:hAnsi="Times New Roman"/>
          <w:color w:val="000000" w:themeColor="text1"/>
          <w:sz w:val="28"/>
          <w:szCs w:val="28"/>
          <w:lang w:val="en-US"/>
        </w:rPr>
        <w:t> </w:t>
      </w:r>
      <w:r>
        <w:rPr>
          <w:rFonts w:cs="Times New Roman" w:ascii="Times New Roman" w:hAnsi="Times New Roman"/>
          <w:color w:val="000000" w:themeColor="text1"/>
          <w:sz w:val="28"/>
          <w:szCs w:val="28"/>
        </w:rPr>
        <w:t>демонстрируют высокую степень удовлетворенности условиями оказания услуг, и готовы рекомендовать МБУК «Савдянский сельский Дом культуры» Савдянского сельского поселения Заветинского района Ростовской области своим родственникам и знакомым.</w:t>
      </w:r>
      <w:bookmarkStart w:id="35" w:name="_GoBack"/>
      <w:bookmarkEnd w:id="35"/>
    </w:p>
    <w:p>
      <w:pPr>
        <w:pStyle w:val="Normal"/>
        <w:spacing w:lineRule="auto" w:line="360" w:before="0" w:after="0"/>
        <w:ind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b/>
          <w:b/>
          <w:color w:val="000000" w:themeColor="text1"/>
          <w:sz w:val="28"/>
          <w:szCs w:val="28"/>
          <w:lang w:eastAsia="en-US"/>
        </w:rPr>
      </w:pPr>
      <w:r>
        <w:rPr>
          <w:rFonts w:eastAsia="Calibri" w:cs="Times New Roman" w:ascii="Times New Roman" w:hAnsi="Times New Roman"/>
          <w:b/>
          <w:color w:val="000000" w:themeColor="text1"/>
          <w:sz w:val="28"/>
          <w:szCs w:val="28"/>
          <w:lang w:eastAsia="en-US"/>
        </w:rPr>
      </w:r>
      <w:r>
        <w:br w:type="page"/>
      </w:r>
    </w:p>
    <w:p>
      <w:pPr>
        <w:pStyle w:val="Normal"/>
        <w:keepNext w:val="true"/>
        <w:keepLines/>
        <w:numPr>
          <w:ilvl w:val="0"/>
          <w:numId w:val="0"/>
        </w:numPr>
        <w:spacing w:before="0" w:after="0"/>
        <w:ind w:hanging="0"/>
        <w:jc w:val="center"/>
        <w:outlineLvl w:val="1"/>
        <w:rPr>
          <w:rFonts w:ascii="Times New Roman" w:hAnsi="Times New Roman" w:eastAsia="Calibri" w:cs="Times New Roman"/>
          <w:b/>
          <w:b/>
          <w:color w:val="000000" w:themeColor="text1"/>
          <w:sz w:val="28"/>
          <w:szCs w:val="28"/>
          <w:lang w:eastAsia="en-US"/>
        </w:rPr>
      </w:pPr>
      <w:r>
        <w:rPr>
          <w:rFonts w:eastAsia="Calibri" w:cs="Times New Roman" w:ascii="Times New Roman" w:hAnsi="Times New Roman"/>
          <w:b/>
          <w:color w:val="000000" w:themeColor="text1"/>
          <w:sz w:val="28"/>
          <w:szCs w:val="28"/>
          <w:lang w:eastAsia="en-US"/>
        </w:rPr>
        <w:t>9.2 Предложения по совершенствованию деятельности организации культуры</w:t>
      </w:r>
    </w:p>
    <w:p>
      <w:pPr>
        <w:pStyle w:val="Normal"/>
        <w:spacing w:lineRule="auto" w:line="360" w:before="0" w:after="0"/>
        <w:ind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360" w:before="0" w:after="0"/>
        <w:ind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xml:space="preserve">Администрации </w:t>
      </w:r>
      <w:r>
        <w:rPr>
          <w:rFonts w:cs="Times New Roman" w:ascii="Times New Roman" w:hAnsi="Times New Roman"/>
          <w:color w:val="000000" w:themeColor="text1"/>
          <w:sz w:val="28"/>
          <w:szCs w:val="28"/>
        </w:rPr>
        <w:t xml:space="preserve">Савдянского сельского поселения Заветинского </w:t>
      </w:r>
      <w:r>
        <w:rPr>
          <w:rFonts w:eastAsia="Calibri" w:cs="Times New Roman" w:ascii="Times New Roman" w:hAnsi="Times New Roman"/>
          <w:color w:val="000000" w:themeColor="text1"/>
          <w:sz w:val="28"/>
          <w:szCs w:val="28"/>
          <w:lang w:eastAsia="en-US"/>
        </w:rPr>
        <w:t xml:space="preserve">района </w:t>
      </w:r>
      <w:r>
        <w:rPr>
          <w:rFonts w:cs="Times New Roman" w:ascii="Times New Roman" w:hAnsi="Times New Roman"/>
          <w:color w:val="000000" w:themeColor="text1"/>
          <w:sz w:val="28"/>
          <w:szCs w:val="28"/>
        </w:rPr>
        <w:t>Ростовской области</w:t>
      </w:r>
      <w:r>
        <w:rPr>
          <w:rFonts w:eastAsia="Calibri" w:cs="Times New Roman" w:ascii="Times New Roman" w:hAnsi="Times New Roman"/>
          <w:color w:val="000000" w:themeColor="text1"/>
          <w:sz w:val="28"/>
          <w:szCs w:val="28"/>
          <w:lang w:eastAsia="en-US"/>
        </w:rPr>
        <w:t>, имеющей подведомственные организации культуры, можно предложить</w:t>
      </w:r>
      <w:r>
        <w:rPr>
          <w:rFonts w:eastAsia="Calibri" w:cs="Times New Roman" w:ascii="Times New Roman" w:hAnsi="Times New Roman"/>
          <w:b/>
          <w:color w:val="000000" w:themeColor="text1"/>
          <w:sz w:val="28"/>
          <w:szCs w:val="28"/>
          <w:lang w:eastAsia="en-US"/>
        </w:rPr>
        <w:t xml:space="preserve"> </w:t>
      </w:r>
      <w:r>
        <w:rPr>
          <w:rFonts w:eastAsia="Calibri" w:cs="Times New Roman" w:ascii="Times New Roman" w:hAnsi="Times New Roman"/>
          <w:color w:val="000000" w:themeColor="text1"/>
          <w:sz w:val="28"/>
          <w:szCs w:val="28"/>
          <w:lang w:eastAsia="en-US"/>
        </w:rPr>
        <w:t>следующие мероприятия по совершенствованию деятельности организации культуры:</w:t>
      </w:r>
    </w:p>
    <w:p>
      <w:pPr>
        <w:pStyle w:val="Normal"/>
        <w:spacing w:lineRule="auto" w:line="360" w:before="0" w:after="0"/>
        <w:ind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1) Направить отчет для ознакомления и принятия мер реагирования руководителю организации культуры, принимавшей участие в проведении независимой оценки качества.</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xml:space="preserve">2) Подготовить план мероприятий по устранению выявленных недостатков, в котором, в частности, предусмотреть </w:t>
      </w:r>
      <w:r>
        <w:rPr>
          <w:rFonts w:eastAsia="Calibri" w:cs="Times New Roman" w:ascii="Times New Roman" w:hAnsi="Times New Roman"/>
          <w:color w:val="000000" w:themeColor="text1"/>
          <w:sz w:val="28"/>
          <w:szCs w:val="28"/>
        </w:rPr>
        <w:t>размещение на сайте организации большего объема информации об организации культуры.</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3) Принять меры по совершенствованию материально-технической базы и организации работы, обеспечивающие доступность услуг для инвалидов и маломобильных граждан, по тем направлениям, где выявлены дефициты и значительное число неудовлетворительных оценок респондентов.</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4) Проанализировать результаты социологического опроса потребителей услуг организации культуры, и в пределах своей компетенции разработать точечные мероприятия по оптимизации проанализированных аспектов деятельности данной организации.</w:t>
      </w:r>
    </w:p>
    <w:p>
      <w:pPr>
        <w:pStyle w:val="Normal"/>
        <w:spacing w:lineRule="auto" w:line="360" w:before="0" w:after="0"/>
        <w:ind w:firstLine="709"/>
        <w:contextualSpacing/>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5) Руководителю организации культуры</w:t>
      </w:r>
      <w:r>
        <w:rPr>
          <w:rFonts w:ascii="Times New Roman" w:hAnsi="Times New Roman"/>
          <w:color w:val="000000" w:themeColor="text1"/>
          <w:sz w:val="28"/>
          <w:szCs w:val="28"/>
        </w:rPr>
        <w:t xml:space="preserve"> </w:t>
      </w:r>
      <w:r>
        <w:rPr>
          <w:rFonts w:eastAsia="Calibri" w:cs="Times New Roman" w:ascii="Times New Roman" w:hAnsi="Times New Roman"/>
          <w:color w:val="000000" w:themeColor="text1"/>
          <w:sz w:val="28"/>
          <w:szCs w:val="28"/>
          <w:lang w:eastAsia="en-US"/>
        </w:rPr>
        <w:t>ознакомиться с методикой проведения независимой оценки качества и использовать ее показатели при планировании работы организации.</w:t>
      </w:r>
    </w:p>
    <w:p>
      <w:pPr>
        <w:sectPr>
          <w:headerReference w:type="default" r:id="rId18"/>
          <w:footerReference w:type="default" r:id="rId19"/>
          <w:type w:val="nextPage"/>
          <w:pgSz w:w="11906" w:h="16838"/>
          <w:pgMar w:left="1701" w:right="850" w:header="708" w:top="1134" w:footer="708" w:bottom="1134" w:gutter="0"/>
          <w:pgNumType w:fmt="decimal"/>
          <w:formProt w:val="false"/>
          <w:textDirection w:val="lrTb"/>
          <w:docGrid w:type="default" w:linePitch="360" w:charSpace="4096"/>
        </w:sectPr>
        <w:pStyle w:val="Normal"/>
        <w:spacing w:before="0" w:after="0"/>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keepNext w:val="true"/>
        <w:keepLines/>
        <w:numPr>
          <w:ilvl w:val="0"/>
          <w:numId w:val="0"/>
        </w:numPr>
        <w:spacing w:before="0" w:after="0"/>
        <w:ind w:hanging="0"/>
        <w:jc w:val="center"/>
        <w:outlineLvl w:val="0"/>
        <w:rPr>
          <w:rFonts w:ascii="Times New Roman" w:hAnsi="Times New Roman" w:eastAsia="Times New Roman" w:cs="Times New Roman"/>
          <w:b/>
          <w:b/>
          <w:bCs/>
          <w:color w:val="000000" w:themeColor="text1"/>
          <w:sz w:val="28"/>
          <w:szCs w:val="28"/>
        </w:rPr>
      </w:pPr>
      <w:bookmarkStart w:id="36" w:name="_Toc58223949"/>
      <w:bookmarkStart w:id="37" w:name="_Toc57800867"/>
      <w:bookmarkStart w:id="38" w:name="_Toc468106519"/>
      <w:bookmarkStart w:id="39" w:name="_Toc455479812"/>
      <w:r>
        <w:rPr>
          <w:rFonts w:eastAsia="Times New Roman" w:cs="Times New Roman" w:ascii="Times New Roman" w:hAnsi="Times New Roman"/>
          <w:b/>
          <w:bCs/>
          <w:color w:val="000000" w:themeColor="text1"/>
          <w:sz w:val="28"/>
          <w:szCs w:val="28"/>
        </w:rPr>
        <w:t>Приложения</w:t>
      </w:r>
      <w:bookmarkEnd w:id="36"/>
      <w:bookmarkEnd w:id="37"/>
      <w:bookmarkEnd w:id="38"/>
      <w:bookmarkEnd w:id="39"/>
    </w:p>
    <w:p>
      <w:pPr>
        <w:pStyle w:val="Normal"/>
        <w:spacing w:before="0" w:after="0"/>
        <w:ind w:firstLine="709"/>
        <w:jc w:val="both"/>
        <w:rPr>
          <w:rFonts w:ascii="Times New Roman" w:hAnsi="Times New Roman" w:eastAsia="Calibri" w:cs="Times New Roman"/>
          <w:color w:val="000000" w:themeColor="text1"/>
          <w:sz w:val="20"/>
          <w:szCs w:val="20"/>
          <w:lang w:eastAsia="en-US"/>
        </w:rPr>
      </w:pPr>
      <w:r>
        <w:rPr>
          <w:rFonts w:eastAsia="Calibri" w:cs="Times New Roman" w:ascii="Times New Roman" w:hAnsi="Times New Roman"/>
          <w:color w:val="000000" w:themeColor="text1"/>
          <w:sz w:val="20"/>
          <w:szCs w:val="20"/>
          <w:lang w:eastAsia="en-US"/>
        </w:rPr>
      </w:r>
    </w:p>
    <w:p>
      <w:pPr>
        <w:pStyle w:val="Normal"/>
        <w:spacing w:before="0" w:after="0"/>
        <w:jc w:val="center"/>
        <w:rPr>
          <w:rFonts w:ascii="Times New Roman" w:hAnsi="Times New Roman" w:eastAsia="Calibri" w:cs="Times New Roman"/>
          <w:color w:val="000000" w:themeColor="text1"/>
          <w:sz w:val="28"/>
          <w:szCs w:val="24"/>
          <w:lang w:eastAsia="en-US"/>
        </w:rPr>
      </w:pPr>
      <w:r>
        <w:rPr>
          <w:rFonts w:eastAsia="Calibri" w:cs="Times New Roman" w:ascii="Times New Roman" w:hAnsi="Times New Roman"/>
          <w:b/>
          <w:color w:val="000000" w:themeColor="text1"/>
          <w:sz w:val="28"/>
          <w:szCs w:val="24"/>
          <w:lang w:eastAsia="en-US"/>
        </w:rPr>
        <w:t>Приложение 1</w:t>
      </w:r>
      <w:r>
        <w:rPr>
          <w:rFonts w:eastAsia="Calibri" w:cs="Times New Roman" w:ascii="Times New Roman" w:hAnsi="Times New Roman"/>
          <w:color w:val="000000" w:themeColor="text1"/>
          <w:sz w:val="28"/>
          <w:szCs w:val="24"/>
          <w:lang w:eastAsia="en-US"/>
        </w:rPr>
        <w:t xml:space="preserve"> – Показатели, характеризующие общие критерии оценки качества условий оказания услуг организациями культуры</w:t>
      </w:r>
    </w:p>
    <w:p>
      <w:pPr>
        <w:pStyle w:val="Normal"/>
        <w:spacing w:lineRule="auto" w:line="360" w:before="0" w:after="0"/>
        <w:jc w:val="center"/>
        <w:rPr>
          <w:rFonts w:ascii="Times New Roman" w:hAnsi="Times New Roman" w:eastAsia="Calibri" w:cs="Times New Roman"/>
          <w:color w:val="000000" w:themeColor="text1"/>
          <w:sz w:val="28"/>
          <w:szCs w:val="24"/>
          <w:lang w:val="en-US" w:eastAsia="en-US"/>
        </w:rPr>
      </w:pPr>
      <w:r>
        <w:rPr>
          <w:rFonts w:eastAsia="Calibri" w:cs="Times New Roman" w:ascii="Times New Roman" w:hAnsi="Times New Roman"/>
          <w:color w:val="000000" w:themeColor="text1"/>
          <w:sz w:val="28"/>
          <w:szCs w:val="24"/>
          <w:lang w:val="en-US" w:eastAsia="en-US"/>
        </w:rPr>
        <w:t>(</w:t>
      </w:r>
      <w:r>
        <w:rPr>
          <w:rFonts w:eastAsia="Calibri" w:cs="Times New Roman" w:ascii="Times New Roman" w:hAnsi="Times New Roman"/>
          <w:color w:val="000000" w:themeColor="text1"/>
          <w:sz w:val="28"/>
          <w:szCs w:val="24"/>
          <w:lang w:eastAsia="en-US"/>
        </w:rPr>
        <w:t>далее – организация</w:t>
      </w:r>
      <w:r>
        <w:rPr>
          <w:rFonts w:eastAsia="Calibri" w:cs="Times New Roman" w:ascii="Times New Roman" w:hAnsi="Times New Roman"/>
          <w:color w:val="000000" w:themeColor="text1"/>
          <w:sz w:val="28"/>
          <w:szCs w:val="24"/>
          <w:lang w:val="en-US" w:eastAsia="en-US"/>
        </w:rPr>
        <w:t>)</w:t>
      </w:r>
    </w:p>
    <w:tbl>
      <w:tblPr>
        <w:tblW w:w="14572"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1036"/>
        <w:gridCol w:w="5452"/>
        <w:gridCol w:w="1972"/>
        <w:gridCol w:w="6111"/>
      </w:tblGrid>
      <w:tr>
        <w:trPr>
          <w:tblHeader w:val="true"/>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 xml:space="preserve">№ </w:t>
            </w:r>
            <w:r>
              <w:rPr>
                <w:rFonts w:eastAsia="Calibri" w:cs="Times New Roman" w:ascii="Times New Roman" w:hAnsi="Times New Roman"/>
                <w:b/>
                <w:color w:val="000000" w:themeColor="text1"/>
                <w:sz w:val="24"/>
                <w:szCs w:val="24"/>
                <w:lang w:eastAsia="en-US"/>
              </w:rPr>
              <w:t>в разделе</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Показатель</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Единица измерения (значение показателя)</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Способ измерения и порядок выставления оценки</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spacing w:lineRule="auto" w:line="240" w:before="0" w:after="0"/>
              <w:jc w:val="center"/>
              <w:rPr>
                <w:rFonts w:ascii="Times New Roman" w:hAnsi="Times New Roman" w:eastAsia="Calibri" w:cs="Times New Roman"/>
                <w:b/>
                <w:b/>
                <w:color w:val="000000" w:themeColor="text1"/>
                <w:sz w:val="24"/>
                <w:szCs w:val="24"/>
                <w:lang w:val="en-US" w:eastAsia="en-US"/>
              </w:rPr>
            </w:pPr>
            <w:r>
              <w:rPr>
                <w:rFonts w:eastAsia="Calibri" w:cs="Times New Roman" w:ascii="Times New Roman" w:hAnsi="Times New Roman"/>
                <w:b/>
                <w:color w:val="000000" w:themeColor="text1"/>
                <w:sz w:val="24"/>
                <w:szCs w:val="24"/>
                <w:lang w:val="en-US" w:eastAsia="en-US"/>
              </w:rPr>
              <w:t>1</w:t>
            </w:r>
          </w:p>
        </w:tc>
        <w:tc>
          <w:tcPr>
            <w:tcW w:w="13535"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Открытость и доступность информации об организации культуры</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1.1</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0,3</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Мониторинг размещения информации на информационных стендах в помещении организации и на официальном сайте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Полученные по пп. 1.1.1-1.1.2 баллы складываются. Сумма баллов делится на 2, результат округляется до целого числа = количество баллов по показателю 1.1</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1.1.1</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 информационных стендах в помещении организации;</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(от 0 до 100)</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Мониторинг информационных стендов организации, непосредственное определение % наличия требуемой актуальной информации.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 выставляются по правилам, изложенным в Приложении 2.</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1.1.2</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 официальном сайте организации в информационно-телекоммуникационной сети «Интернет».</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(от 0 до 100)</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Мониторинг сайта организации, непосредственное определение % наличия требуемой актуальной информации.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 выставляются по правилам, изложенным в Приложении 2.</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1.1 УМНОЖАЕТСЯ НА КОЭФФИЦИЕНТ 0,3 = ЗНАЧЕНИЕ ПОКАЗАТЕЛЯ 1.1</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(максимальное значение 30)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1.2</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телефона;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электронной почты;</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формы для подачи электронного обращения / жалобы / предложения;</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раздела «Часто задаваемые вопросы»;</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электронного сервиса – получение консультации по оказываемым услугам и пр.;</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обеспечение технической возможности выражения получателем услуг мнения о качестве оказания услуг (наличие анкеты для опроса граждан или гиперссылки на нее).</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0,3</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Мониторинг сайта организации, непосредственное определение наличия и функционирования на официальном сайте организации дистанционных способов обратной связи и взаимодействия с получателями услуг.</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За каждый функционирующий дистанционный способ взаимодействия с получателями услуг присваивается по 30 баллов.</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При наличии более трех дистанционных способов присваивается 100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1.2 УМНОЖАЕТСЯ НА КОЭФФИЦИЕНТ 0,3 = ЗНАЧЕНИЕ ПОКАЗАТЕЛЯ 1.2</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(максимальное значение 30)</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1.3</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Доля получателей услуг, удовлетворенных открытостью, полнотой и доступностью информации о деятельности организации, размещенной:</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0,4</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Оценка значения показателя осуществляется на основе данных социологического опроса получателей (потребителей) услуг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Сумма целых чисел по вопросам пп. 1.3.1-1.3.2 делится на 2, округляется до целого числа.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Целое число = количество баллов.</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1.3.1</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 информационных стендах (в % от общего числа опрошенных получателей услуг);</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1.3.2</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на сайте в информационно-телекоммуникационной сети «Интернет» (в % от общего числа опрошенных получателей услуг).</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1.3 УМНОЖАЕТСЯ НА КОЭФФИЦИЕНТ 0,4 = ЗНАЧЕНИЕ ПОКАЗАТЕЛЯ 1.3</w:t>
              <w:br/>
              <w:t>(максимальное значение 40)</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b/>
                <w:color w:val="000000" w:themeColor="text1"/>
                <w:sz w:val="24"/>
                <w:szCs w:val="24"/>
                <w:lang w:eastAsia="en-US"/>
              </w:rPr>
              <w:t>Значение показателя 1 = 1.1 + 1.2 + 1.3 (максимальное значение 100 баллов) ***</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spacing w:lineRule="auto" w:line="240" w:before="0" w:after="0"/>
              <w:jc w:val="center"/>
              <w:rPr>
                <w:rFonts w:ascii="Times New Roman" w:hAnsi="Times New Roman" w:eastAsia="Calibri" w:cs="Times New Roman"/>
                <w:b/>
                <w:b/>
                <w:color w:val="000000" w:themeColor="text1"/>
                <w:sz w:val="24"/>
                <w:szCs w:val="24"/>
                <w:lang w:val="en-US" w:eastAsia="en-US"/>
              </w:rPr>
            </w:pPr>
            <w:r>
              <w:rPr>
                <w:rFonts w:eastAsia="Calibri" w:cs="Times New Roman" w:ascii="Times New Roman" w:hAnsi="Times New Roman"/>
                <w:b/>
                <w:color w:val="000000" w:themeColor="text1"/>
                <w:sz w:val="24"/>
                <w:szCs w:val="24"/>
                <w:lang w:eastAsia="en-US"/>
              </w:rPr>
              <w:t>2</w:t>
            </w:r>
            <w:r>
              <w:rPr>
                <w:rFonts w:eastAsia="Calibri" w:cs="Times New Roman" w:ascii="Times New Roman" w:hAnsi="Times New Roman"/>
                <w:b/>
                <w:color w:val="000000" w:themeColor="text1"/>
                <w:sz w:val="24"/>
                <w:szCs w:val="24"/>
                <w:lang w:val="en-US" w:eastAsia="en-US"/>
              </w:rPr>
              <w:t xml:space="preserve"> *</w:t>
            </w:r>
          </w:p>
        </w:tc>
        <w:tc>
          <w:tcPr>
            <w:tcW w:w="13535"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Комфортность условий предоставления услуг</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val="en-US" w:eastAsia="en-US"/>
              </w:rPr>
              <w:t>2</w:t>
            </w:r>
            <w:r>
              <w:rPr>
                <w:rFonts w:eastAsia="Calibri" w:cs="Times New Roman" w:ascii="Times New Roman" w:hAnsi="Times New Roman"/>
                <w:color w:val="000000" w:themeColor="text1"/>
                <w:sz w:val="24"/>
                <w:szCs w:val="24"/>
                <w:lang w:eastAsia="en-US"/>
              </w:rPr>
              <w:t>.1</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Обеспечение в организации комфортных условий для предоставления услуг:</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наличие комфортной зоны отдыха (ожидания);</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наличие и понятность навигации внутри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доступность питьевой воды;</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наличие и доступность санитарно-гигиенических помещений (чистота помещений, наличие мыла, воды, туалетной бумаги и пр.);</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санитарное состояние помещений организаций;</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возможность бронирования услуги / доступность записи на получение услуги (по телефону, с использованием сети «Интернет» на официальном сайте организации, при личном посещении и пр.).</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0,5</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Мониторинг обеспечения в организации комфортных условий для предоставления услуг.</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За каждое комфортное условие для предоставления услуг присваивается по 20 баллов.</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При наличии более пяти комфортных условий для предоставления услуг присваивается 100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2.1 УМНОЖАЕТСЯ НА КОЭФФИЦИЕНТ 0,5 = ЗНАЧЕНИЕ ПОКАЗАТЕЛЯ 2.1</w:t>
              <w:br/>
              <w:t>(максимальное значение 50)</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2.2</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Время ожидания предоставления услуги</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Данный показатель не применяется для оценки организаций культуры.</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2.3</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Доля получателей услуг, удовлетворенных комфортностью условий предоставления услуг (в % от общего числа опрошенных получателей услуг)</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0,5</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Оценка значения показателя осуществляется на основе данных социологического опроса получателей (потребителей) услуг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Целое число = количество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2.3 УМНОЖАЕТСЯ НА КОЭФФИЦИЕНТ 0,5 = ЗНАЧЕНИЕ ПОКАЗАТЕЛЯ 2.3</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xml:space="preserve">(максимальное значение </w:t>
            </w:r>
            <w:r>
              <w:rPr>
                <w:rFonts w:eastAsia="Calibri" w:cs="Times New Roman" w:ascii="Times New Roman" w:hAnsi="Times New Roman"/>
                <w:color w:val="000000" w:themeColor="text1"/>
                <w:sz w:val="24"/>
                <w:szCs w:val="24"/>
                <w:lang w:val="en-US" w:eastAsia="en-US"/>
              </w:rPr>
              <w:t>5</w:t>
            </w:r>
            <w:r>
              <w:rPr>
                <w:rFonts w:eastAsia="Calibri" w:cs="Times New Roman" w:ascii="Times New Roman" w:hAnsi="Times New Roman"/>
                <w:color w:val="000000" w:themeColor="text1"/>
                <w:sz w:val="24"/>
                <w:szCs w:val="24"/>
                <w:lang w:eastAsia="en-US"/>
              </w:rPr>
              <w:t>0)</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b/>
                <w:color w:val="000000" w:themeColor="text1"/>
                <w:sz w:val="24"/>
                <w:szCs w:val="24"/>
                <w:lang w:eastAsia="en-US"/>
              </w:rPr>
              <w:t>Значение показателя 2 = 2.1 + 2.3 (максимальное значение 100 баллов) ***</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3</w:t>
            </w:r>
          </w:p>
        </w:tc>
        <w:tc>
          <w:tcPr>
            <w:tcW w:w="13535"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Доступность услуг для инвалидов</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eastAsia="en-US"/>
              </w:rPr>
              <w:t>3.1</w:t>
            </w:r>
            <w:r>
              <w:rPr>
                <w:rFonts w:eastAsia="Calibri" w:cs="Times New Roman" w:ascii="Times New Roman" w:hAnsi="Times New Roman"/>
                <w:color w:val="000000" w:themeColor="text1"/>
                <w:sz w:val="24"/>
                <w:szCs w:val="24"/>
                <w:lang w:val="en-US" w:eastAsia="en-US"/>
              </w:rPr>
              <w:t xml:space="preserve"> **</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Оборудование территории, прилегающей к организации, и ее помещений с учетом доступности для инвалидов:</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w:t>
            </w:r>
            <w:r>
              <w:rPr>
                <w:rFonts w:eastAsia="Calibri" w:cs="Times New Roman" w:ascii="Times New Roman" w:hAnsi="Times New Roman"/>
                <w:color w:val="000000" w:themeColor="text1"/>
                <w:sz w:val="24"/>
                <w:szCs w:val="24"/>
                <w:lang w:val="en-US" w:eastAsia="en-US"/>
              </w:rPr>
              <w:t> </w:t>
            </w:r>
            <w:r>
              <w:rPr>
                <w:rFonts w:eastAsia="Calibri" w:cs="Times New Roman" w:ascii="Times New Roman" w:hAnsi="Times New Roman"/>
                <w:color w:val="000000" w:themeColor="text1"/>
                <w:sz w:val="24"/>
                <w:szCs w:val="24"/>
                <w:lang w:eastAsia="en-US"/>
              </w:rPr>
              <w:t>оборудование входных групп пандусами</w:t>
            </w:r>
            <w:r>
              <w:rPr>
                <w:rFonts w:eastAsia="Calibri" w:cs="Times New Roman" w:ascii="Times New Roman" w:hAnsi="Times New Roman"/>
                <w:color w:val="000000" w:themeColor="text1"/>
                <w:sz w:val="24"/>
                <w:szCs w:val="24"/>
                <w:lang w:val="en-US" w:eastAsia="en-US"/>
              </w:rPr>
              <w:t> </w:t>
            </w:r>
            <w:r>
              <w:rPr>
                <w:rFonts w:eastAsia="Calibri" w:cs="Times New Roman" w:ascii="Times New Roman" w:hAnsi="Times New Roman"/>
                <w:color w:val="000000" w:themeColor="text1"/>
                <w:sz w:val="24"/>
                <w:szCs w:val="24"/>
                <w:lang w:eastAsia="en-US"/>
              </w:rPr>
              <w:t>/</w:t>
            </w:r>
            <w:r>
              <w:rPr>
                <w:rFonts w:eastAsia="Calibri" w:cs="Times New Roman" w:ascii="Times New Roman" w:hAnsi="Times New Roman"/>
                <w:color w:val="000000" w:themeColor="text1"/>
                <w:sz w:val="24"/>
                <w:szCs w:val="24"/>
                <w:lang w:val="en-US" w:eastAsia="en-US"/>
              </w:rPr>
              <w:t> </w:t>
            </w:r>
            <w:r>
              <w:rPr>
                <w:rFonts w:eastAsia="Calibri" w:cs="Times New Roman" w:ascii="Times New Roman" w:hAnsi="Times New Roman"/>
                <w:color w:val="000000" w:themeColor="text1"/>
                <w:sz w:val="24"/>
                <w:szCs w:val="24"/>
                <w:lang w:eastAsia="en-US"/>
              </w:rPr>
              <w:t>подъемными платформами;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w:t>
            </w:r>
            <w:r>
              <w:rPr>
                <w:rFonts w:eastAsia="Calibri" w:cs="Times New Roman" w:ascii="Times New Roman" w:hAnsi="Times New Roman"/>
                <w:color w:val="000000" w:themeColor="text1"/>
                <w:sz w:val="24"/>
                <w:szCs w:val="24"/>
                <w:lang w:val="en-US" w:eastAsia="en-US"/>
              </w:rPr>
              <w:t> </w:t>
            </w:r>
            <w:r>
              <w:rPr>
                <w:rFonts w:eastAsia="Calibri" w:cs="Times New Roman" w:ascii="Times New Roman" w:hAnsi="Times New Roman"/>
                <w:color w:val="000000" w:themeColor="text1"/>
                <w:sz w:val="24"/>
                <w:szCs w:val="24"/>
                <w:lang w:eastAsia="en-US"/>
              </w:rPr>
              <w:t>наличие выделенных стоянок для автотранспортных средств инвалидов;</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w:t>
            </w:r>
            <w:r>
              <w:rPr>
                <w:rFonts w:eastAsia="Calibri" w:cs="Times New Roman" w:ascii="Times New Roman" w:hAnsi="Times New Roman"/>
                <w:color w:val="000000" w:themeColor="text1"/>
                <w:sz w:val="24"/>
                <w:szCs w:val="24"/>
                <w:lang w:val="en-US" w:eastAsia="en-US"/>
              </w:rPr>
              <w:t> </w:t>
            </w:r>
            <w:r>
              <w:rPr>
                <w:rFonts w:eastAsia="Calibri" w:cs="Times New Roman" w:ascii="Times New Roman" w:hAnsi="Times New Roman"/>
                <w:color w:val="000000" w:themeColor="text1"/>
                <w:sz w:val="24"/>
                <w:szCs w:val="24"/>
                <w:lang w:eastAsia="en-US"/>
              </w:rPr>
              <w:t>наличие адаптированных лифтов, поручней, расширенных дверных проемов;</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w:t>
            </w:r>
            <w:r>
              <w:rPr>
                <w:rFonts w:eastAsia="Calibri" w:cs="Times New Roman" w:ascii="Times New Roman" w:hAnsi="Times New Roman"/>
                <w:color w:val="000000" w:themeColor="text1"/>
                <w:sz w:val="24"/>
                <w:szCs w:val="24"/>
                <w:lang w:val="en-US" w:eastAsia="en-US"/>
              </w:rPr>
              <w:t> </w:t>
            </w:r>
            <w:r>
              <w:rPr>
                <w:rFonts w:eastAsia="Calibri" w:cs="Times New Roman" w:ascii="Times New Roman" w:hAnsi="Times New Roman"/>
                <w:color w:val="000000" w:themeColor="text1"/>
                <w:sz w:val="24"/>
                <w:szCs w:val="24"/>
                <w:lang w:eastAsia="en-US"/>
              </w:rPr>
              <w:t>наличие сменных кресел-колясок;</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w:t>
            </w:r>
            <w:r>
              <w:rPr>
                <w:rFonts w:eastAsia="Calibri" w:cs="Times New Roman" w:ascii="Times New Roman" w:hAnsi="Times New Roman"/>
                <w:color w:val="000000" w:themeColor="text1"/>
                <w:sz w:val="24"/>
                <w:szCs w:val="24"/>
                <w:lang w:val="en-US" w:eastAsia="en-US"/>
              </w:rPr>
              <w:t> </w:t>
            </w:r>
            <w:r>
              <w:rPr>
                <w:rFonts w:eastAsia="Calibri" w:cs="Times New Roman" w:ascii="Times New Roman" w:hAnsi="Times New Roman"/>
                <w:color w:val="000000" w:themeColor="text1"/>
                <w:sz w:val="24"/>
                <w:szCs w:val="24"/>
                <w:lang w:eastAsia="en-US"/>
              </w:rPr>
              <w:t>наличие специально оборудованных санитарно-гигиенических помещений в организации.</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0,3</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Мониторинг оборудования территории, прилегающей к организации, и её помещений с учетом доступности для инвалидов.</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За каждое условие доступности организации для инвалидов присваивается по 20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3.1 УМНОЖАЕТСЯ НА КОЭФФИЦИЕНТ 0,3 = ЗНАЧЕНИЕ ПОКАЗАТЕЛЯ 3.1</w:t>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eastAsia="en-US"/>
              </w:rPr>
              <w:t>(максимальное значение 30)</w:t>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3.2</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Обеспечение в организации условий доступности, позволяющих инвалидам получать услуги наравне с другими, включая:</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дублирование для инвалидов по слуху и зрению звуковой и зрительной информации;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дублирование надписей, знаков и иной текстовой и графической информации знаками, выполненными рельефно-точечным шрифтом Брайля;</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возможность предоставления инвалидам по слуху (слуху и зрению) услуг сурдопереводчика (тифлосурдопереводчика);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наличие альтернативной версии официального сайта организации в сети «Интернет» для инвалидов по зрению;</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наличие возможности предоставления услуги в дистанционном режиме или на дому.</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0,4</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Мониторинг обеспечения в организации условий доступности, позволяющих инвалидам получать услуги наравне с другими.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За каждое условие доступности, позволяющее получать услуги наравне с другими, присваивается по 20 баллов.</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При наличии более пяти условий доступности присваивается 100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3.2 УМНОЖАЕТСЯ НА КОЭФФИЦИЕНТ 0,4 = ЗНАЧЕНИЕ ПОКАЗАТЕЛЯ 3.2</w:t>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eastAsia="en-US"/>
              </w:rPr>
              <w:t>(максимальное значение 40)</w:t>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3.3</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Доля получателей услуг, удовлетворенных доступностью услуг для инвалидов (в % от общего числа опрошенных получателей услуг - инвалидов)</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0,3</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Оценка значения показателя осуществляется на основе данных социологического опроса получателей (потребителей) услуг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Вычисляется средний % положительных ответов (вариант ответа – «Да») от общего числа опрошенных получателей услуг-инвалидов, полученный результат округляется до целого числа.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Целое число = количество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3.3 УМНОЖАЕТСЯ НА КОЭФФИЦИЕНТ 0,3 = ЗНАЧЕНИЕ ПОКАЗАТЕЛЯ 3.3</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(максимальное значение 30)</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b/>
                <w:color w:val="000000" w:themeColor="text1"/>
                <w:sz w:val="24"/>
                <w:szCs w:val="24"/>
                <w:lang w:eastAsia="en-US"/>
              </w:rPr>
              <w:t>Значение показателя 3 = 3.1 + 3.2 + 3.3 (максимальное значение 100 баллов) ***</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4 *</w:t>
            </w:r>
          </w:p>
        </w:tc>
        <w:tc>
          <w:tcPr>
            <w:tcW w:w="13535"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Доброжелательность, вежливость работников организации</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val="en-US" w:eastAsia="en-US"/>
              </w:rPr>
              <w:t>4</w:t>
            </w:r>
            <w:r>
              <w:rPr>
                <w:rFonts w:eastAsia="Calibri" w:cs="Times New Roman" w:ascii="Times New Roman" w:hAnsi="Times New Roman"/>
                <w:color w:val="000000" w:themeColor="text1"/>
                <w:sz w:val="24"/>
                <w:szCs w:val="24"/>
                <w:lang w:eastAsia="en-US"/>
              </w:rPr>
              <w:t>.1</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w:t>
            </w:r>
            <w:r>
              <w:rPr>
                <w:rFonts w:eastAsia="Calibri" w:cs="Times New Roman" w:ascii="Times New Roman" w:hAnsi="Times New Roman"/>
                <w:i/>
                <w:color w:val="000000" w:themeColor="text1"/>
                <w:sz w:val="24"/>
                <w:szCs w:val="24"/>
                <w:lang w:eastAsia="en-US"/>
              </w:rPr>
              <w:t>работники справочной, кассиры и прочее</w:t>
            </w:r>
            <w:r>
              <w:rPr>
                <w:rFonts w:eastAsia="Calibri" w:cs="Times New Roman" w:ascii="Times New Roman" w:hAnsi="Times New Roman"/>
                <w:color w:val="000000" w:themeColor="text1"/>
                <w:sz w:val="24"/>
                <w:szCs w:val="24"/>
                <w:lang w:eastAsia="en-US"/>
              </w:rPr>
              <w:t>) при непосредственном обращении в организацию (в % от общего числа опрошенных получателей услуг)</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0,4</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Оценка значения показателя осуществляется на основе данных социологического опроса получателей (потребителей) услуг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Целое число = количество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4.1 УМНОЖАЕТСЯ НА КОЭФФИЦИЕНТ 0,4 = ЗНАЧЕНИЕ ПОКАЗАТЕЛЯ 4.1</w:t>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eastAsia="en-US"/>
              </w:rPr>
              <w:t>(максимальное значение 40)</w:t>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p>
            <w:pPr>
              <w:pStyle w:val="Normal"/>
              <w:spacing w:lineRule="auto" w:line="240" w:before="0" w:after="0"/>
              <w:jc w:val="center"/>
              <w:rPr>
                <w:rFonts w:ascii="Times New Roman" w:hAnsi="Times New Roman" w:eastAsia="Calibri" w:cs="Times New Roman"/>
                <w:color w:val="000000" w:themeColor="text1"/>
                <w:sz w:val="24"/>
                <w:szCs w:val="24"/>
                <w:lang w:val="en-US" w:eastAsia="en-US"/>
              </w:rPr>
            </w:pPr>
            <w:r>
              <w:rPr>
                <w:rFonts w:eastAsia="Calibri" w:cs="Times New Roman" w:ascii="Times New Roman" w:hAnsi="Times New Roman"/>
                <w:color w:val="000000" w:themeColor="text1"/>
                <w:sz w:val="24"/>
                <w:szCs w:val="24"/>
                <w:lang w:val="en-US" w:eastAsia="en-US"/>
              </w:rPr>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val="en-US" w:eastAsia="en-US"/>
              </w:rPr>
              <w:t>4</w:t>
            </w:r>
            <w:r>
              <w:rPr>
                <w:rFonts w:eastAsia="Calibri" w:cs="Times New Roman" w:ascii="Times New Roman" w:hAnsi="Times New Roman"/>
                <w:color w:val="000000" w:themeColor="text1"/>
                <w:sz w:val="24"/>
                <w:szCs w:val="24"/>
                <w:lang w:eastAsia="en-US"/>
              </w:rPr>
              <w:t>.2</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(в % от общего числа опрошенных получателей услуг)</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0,4</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Оценка значения показателя осуществляется на основе данных социологического опроса получателей (потребителей) услуг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Целое число = количество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4.2 УМНОЖАЕТСЯ НА КОЭФФИЦИЕНТ 0,4 = ЗНАЧЕНИЕ ПОКАЗАТЕЛЯ 4.2</w:t>
              <w:br/>
              <w:t>(максимальное значение 40)</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4.3</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обращения/жалоб / предложений, записи на получение услуги, получение консультации по оказываемым услугам и пр.)) (в % от общего числа опрошенных получателей услуг)</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0,2</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Оценка значения показателя осуществляется на основе данных социологического опроса получателей (потребителей) услуг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Целое число = количество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4.3 УМНОЖАЕТСЯ НА КОЭФФИЦИЕНТ 0,2 = ЗНАЧЕНИЕ ПОКАЗАТЕЛЯ 4.3</w:t>
              <w:br/>
              <w:t>(максимальное значение 20)</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Значение показателя 4 = 4.1 + 4.2 + 4.3 (максимальное значение 100 баллов) ***</w:t>
            </w:r>
          </w:p>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r>
          </w:p>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r>
          </w:p>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r>
          </w:p>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r>
          </w:p>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5 *</w:t>
            </w:r>
          </w:p>
        </w:tc>
        <w:tc>
          <w:tcPr>
            <w:tcW w:w="13535"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spacing w:lineRule="auto" w:line="240" w:before="0" w:after="0"/>
              <w:jc w:val="center"/>
              <w:rPr>
                <w:rFonts w:ascii="Times New Roman" w:hAnsi="Times New Roman" w:eastAsia="Calibri" w:cs="Times New Roman"/>
                <w:b/>
                <w:b/>
                <w:color w:val="000000" w:themeColor="text1"/>
                <w:sz w:val="24"/>
                <w:szCs w:val="24"/>
                <w:lang w:eastAsia="en-US"/>
              </w:rPr>
            </w:pPr>
            <w:r>
              <w:rPr>
                <w:rFonts w:eastAsia="Calibri" w:cs="Times New Roman" w:ascii="Times New Roman" w:hAnsi="Times New Roman"/>
                <w:b/>
                <w:color w:val="000000" w:themeColor="text1"/>
                <w:sz w:val="24"/>
                <w:szCs w:val="24"/>
                <w:lang w:eastAsia="en-US"/>
              </w:rPr>
              <w:t>Удовлетворенность условиями оказания услуг</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val="en-US" w:eastAsia="en-US"/>
              </w:rPr>
              <w:t>5</w:t>
            </w:r>
            <w:r>
              <w:rPr>
                <w:rFonts w:eastAsia="Calibri" w:cs="Times New Roman" w:ascii="Times New Roman" w:hAnsi="Times New Roman"/>
                <w:color w:val="000000" w:themeColor="text1"/>
                <w:sz w:val="24"/>
                <w:szCs w:val="24"/>
                <w:lang w:eastAsia="en-US"/>
              </w:rPr>
              <w:t>.1</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Доля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услуг)</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0,3</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Оценка значения показателя осуществляется на основе данных социологического опроса получателей (потребителей) услуг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Вычисляется % положительных ответов (варианты ответов – «определенно готов», «скорее готов») от общего числа опрошенных получателей услуг, полученный результат округляется до целого числа.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Целое число = количество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5.1 УМНОЖАЕТСЯ НА КОЭФФИЦИЕНТ 0,3 = ЗНАЧЕНИЕ ПОКАЗАТЕЛЯ 5.1</w:t>
              <w:br/>
              <w:t>(максимальное значение 30)</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val="en-US" w:eastAsia="en-US"/>
              </w:rPr>
              <w:t>5</w:t>
            </w:r>
            <w:r>
              <w:rPr>
                <w:rFonts w:eastAsia="Calibri" w:cs="Times New Roman" w:ascii="Times New Roman" w:hAnsi="Times New Roman"/>
                <w:color w:val="000000" w:themeColor="text1"/>
                <w:sz w:val="24"/>
                <w:szCs w:val="24"/>
                <w:lang w:eastAsia="en-US"/>
              </w:rPr>
              <w:t>.2</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Доля получателей услуг, удовлетворенных графиком работы организации (в % от общего числа опрошенных получателей услуг)</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0,2</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Оценка значения показателя осуществляется на основе данных социологического опроса получателей (потребителей) услуг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Целое число = количество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5.2 УМНОЖАЕТСЯ НА КОЭФФИЦИЕНТ 0,2 = ЗНАЧЕНИЕ ПОКАЗАТЕЛЯ 5.2</w:t>
              <w:br/>
              <w:t>(максимальное значение 20)</w:t>
            </w:r>
          </w:p>
        </w:tc>
      </w:tr>
      <w:tr>
        <w:trPr/>
        <w:tc>
          <w:tcPr>
            <w:tcW w:w="10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val="en-US" w:eastAsia="en-US"/>
              </w:rPr>
              <w:t>5</w:t>
            </w:r>
            <w:r>
              <w:rPr>
                <w:rFonts w:eastAsia="Calibri" w:cs="Times New Roman" w:ascii="Times New Roman" w:hAnsi="Times New Roman"/>
                <w:color w:val="000000" w:themeColor="text1"/>
                <w:sz w:val="24"/>
                <w:szCs w:val="24"/>
                <w:lang w:eastAsia="en-US"/>
              </w:rPr>
              <w:t>.3</w:t>
            </w:r>
          </w:p>
        </w:tc>
        <w:tc>
          <w:tcPr>
            <w:tcW w:w="54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Доля получателей услуг, удовлетворенных в целом условиями оказания услуг в организации (в % от общего числа опрошенных получателей услуг)</w:t>
            </w:r>
          </w:p>
        </w:tc>
        <w:tc>
          <w:tcPr>
            <w:tcW w:w="19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Баллы</w:t>
              <w:br/>
              <w:t>(от 0 до 100)</w:t>
            </w:r>
          </w:p>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Коэффициент значимости показателя – 0,5</w:t>
            </w:r>
          </w:p>
        </w:tc>
        <w:tc>
          <w:tcPr>
            <w:tcW w:w="6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2F2F2" w:themeFill="background1" w:themeFillShade="f2"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Оценка значения показателя осуществляется на основе данных социологического опроса получателей (потребителей) услуг организации.</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Целое число = количество баллов.</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КОЛИЧЕСТВО БАЛЛОВ ПО ПОКАЗАТЕЛЮ 5.3 УМНОЖАЕТСЯ НА КОЭФФИЦИЕНТ 0,5 = ЗНАЧЕНИЕ ПОКАЗАТЕЛЯ 5.3</w:t>
              <w:br/>
              <w:t>(максимальное значение 50)</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b/>
                <w:color w:val="000000" w:themeColor="text1"/>
                <w:sz w:val="24"/>
                <w:szCs w:val="24"/>
                <w:lang w:eastAsia="en-US"/>
              </w:rPr>
              <w:t>Значение показателя 5 = 5.1 + 5.2 + 5.3 (максимальное значение 100 баллов) ***</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ИТОГОВОЕ ЗНАЧЕНИЕ ИНТЕГРАЛЬНОГО ПОКАЗАТЕЛЯ КАЧЕСТВА УСЛОВИЙ ОКАЗАНИЯ УСЛУГ ОРГАНИЗАЦИЯМИ КУЛЬТУРЫ РАССЧИТЫВАЕТСЯ КАК СУММА ЗНАЧЕНИЙ ЧАСТНЫХ ПОКАЗАТЕЛЕЙ ПО РАЗДЕЛАМ 1-5</w:t>
            </w:r>
          </w:p>
        </w:tc>
      </w:tr>
      <w:tr>
        <w:trPr/>
        <w:tc>
          <w:tcPr>
            <w:tcW w:w="145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 xml:space="preserve">ПОКАЗАТЕЛЬ (РЕЗУЛЬТАТ) ОЦЕНКИ КАЧЕСТВА ПО КАЖДОЙ ОРГАНИЗАЦИИ РАССЧИТЫВАЕТСЯ КАК ЧАСТНОЕ ОТ ДЕЛЕНИЯ ЗНАЧЕНИЯ ИНТЕГРАЛЬНОГО ПОКАЗАТЕЛЯ КАЧЕСТВА НА КОЛИЧЕСТВО РАЗДЕЛОВ (УКРУПНЕННЫХ ПОКАЗАТЕЛЕЙ) В ПРИМЕНЯЕМОЙ МЕТОДИКЕ (т. е., на 5). </w:t>
            </w:r>
            <w:r>
              <w:rPr>
                <w:rFonts w:eastAsia="Calibri" w:cs="Times New Roman" w:ascii="Times New Roman" w:hAnsi="Times New Roman"/>
                <w:b/>
                <w:color w:val="000000" w:themeColor="text1"/>
                <w:sz w:val="24"/>
                <w:szCs w:val="24"/>
                <w:lang w:eastAsia="en-US"/>
              </w:rPr>
              <w:t>***</w:t>
            </w:r>
          </w:p>
        </w:tc>
      </w:tr>
    </w:tbl>
    <w:p>
      <w:pPr>
        <w:pStyle w:val="Normal"/>
        <w:spacing w:lineRule="auto" w:line="360" w:before="0" w:after="0"/>
        <w:ind w:firstLine="709"/>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lineRule="auto" w:line="24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lang w:eastAsia="en-US"/>
        </w:rPr>
        <w:t xml:space="preserve">Показатели приведены в соответствии с </w:t>
      </w:r>
      <w:r>
        <w:rPr>
          <w:rFonts w:eastAsia="Calibri" w:cs="Times New Roman" w:ascii="Times New Roman" w:hAnsi="Times New Roman"/>
          <w:color w:val="000000" w:themeColor="text1"/>
          <w:sz w:val="28"/>
          <w:szCs w:val="28"/>
        </w:rPr>
        <w:t>Приказом Минкультуры России от 27.04.2018 № 599 «Об утверждении показателей, характеризующих общие критерии оценки качества условий оказания услуг организациями культуры».</w:t>
      </w:r>
    </w:p>
    <w:p>
      <w:pPr>
        <w:pStyle w:val="Normal"/>
        <w:spacing w:lineRule="auto" w:line="24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r>
    </w:p>
    <w:p>
      <w:pPr>
        <w:pStyle w:val="Normal"/>
        <w:spacing w:lineRule="auto" w:line="24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Примечания:</w:t>
      </w:r>
    </w:p>
    <w:p>
      <w:pPr>
        <w:pStyle w:val="Normal"/>
        <w:spacing w:lineRule="auto" w:line="24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p>
      <w:pPr>
        <w:pStyle w:val="Normal"/>
        <w:spacing w:lineRule="auto" w:line="24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Данный показатель не применяется к организациям культуры, размещающимся в объектах культурного наследия.</w:t>
      </w:r>
    </w:p>
    <w:p>
      <w:pPr>
        <w:pStyle w:val="Normal"/>
        <w:spacing w:lineRule="auto" w:line="24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 Результат округляется до целого числа.</w:t>
      </w:r>
    </w:p>
    <w:p>
      <w:pPr>
        <w:sectPr>
          <w:headerReference w:type="default" r:id="rId20"/>
          <w:footerReference w:type="default" r:id="rId21"/>
          <w:type w:val="nextPage"/>
          <w:pgSz w:orient="landscape" w:w="16838" w:h="11906"/>
          <w:pgMar w:left="1134" w:right="1134" w:header="708" w:top="1701" w:footer="708" w:bottom="850" w:gutter="0"/>
          <w:pgNumType w:fmt="decimal"/>
          <w:formProt w:val="false"/>
          <w:textDirection w:val="lrTb"/>
          <w:docGrid w:type="default" w:linePitch="360" w:charSpace="4096"/>
        </w:sectPr>
        <w:pStyle w:val="Normal"/>
        <w:spacing w:lineRule="auto" w:line="24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r>
    </w:p>
    <w:p>
      <w:pPr>
        <w:pStyle w:val="Normal"/>
        <w:spacing w:before="0" w:after="0"/>
        <w:jc w:val="center"/>
        <w:rPr>
          <w:rFonts w:ascii="Times New Roman" w:hAnsi="Times New Roman" w:eastAsia="Calibri" w:cs="Times New Roman"/>
          <w:color w:val="000000" w:themeColor="text1"/>
          <w:sz w:val="28"/>
          <w:szCs w:val="28"/>
        </w:rPr>
      </w:pPr>
      <w:r>
        <w:rPr>
          <w:rFonts w:eastAsia="Calibri" w:cs="Times New Roman" w:ascii="Times New Roman" w:hAnsi="Times New Roman"/>
          <w:b/>
          <w:color w:val="000000" w:themeColor="text1"/>
          <w:sz w:val="28"/>
          <w:szCs w:val="28"/>
        </w:rPr>
        <w:t>Приложение 2</w:t>
      </w:r>
      <w:r>
        <w:rPr>
          <w:rFonts w:eastAsia="Calibri" w:cs="Times New Roman" w:ascii="Times New Roman" w:hAnsi="Times New Roman"/>
          <w:color w:val="000000" w:themeColor="text1"/>
          <w:sz w:val="28"/>
          <w:szCs w:val="28"/>
        </w:rPr>
        <w:t xml:space="preserve"> – Объем информации (количество материалов / единиц информации) о деятельности организации культуры, которая должна быть размещена на общедоступных информационных ресурсах</w:t>
      </w:r>
    </w:p>
    <w:tbl>
      <w:tblPr>
        <w:tblW w:w="9356"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7512"/>
        <w:gridCol w:w="1843"/>
      </w:tblGrid>
      <w:tr>
        <w:trPr>
          <w:tblHeader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color w:val="000000" w:themeColor="text1"/>
                <w:sz w:val="24"/>
                <w:szCs w:val="24"/>
              </w:rPr>
              <w:t>Перечень информации</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ind w:left="-108" w:right="-108" w:hanging="0"/>
              <w:jc w:val="center"/>
              <w:rPr>
                <w:rFonts w:ascii="Times New Roman" w:hAnsi="Times New Roman" w:eastAsia="Times New Roman" w:cs="Times New Roman"/>
                <w:b/>
                <w:b/>
                <w:color w:val="000000" w:themeColor="text1"/>
                <w:sz w:val="24"/>
                <w:szCs w:val="24"/>
              </w:rPr>
            </w:pPr>
            <w:r>
              <w:rPr>
                <w:rFonts w:eastAsia="Times New Roman" w:cs="Times New Roman" w:ascii="Times New Roman" w:hAnsi="Times New Roman"/>
                <w:b/>
                <w:color w:val="000000" w:themeColor="text1"/>
                <w:sz w:val="24"/>
                <w:szCs w:val="24"/>
              </w:rPr>
              <w:t>1 – Наличие,</w:t>
            </w:r>
          </w:p>
          <w:p>
            <w:pPr>
              <w:pStyle w:val="Normal"/>
              <w:widowControl w:val="false"/>
              <w:spacing w:lineRule="auto" w:line="240" w:before="0" w:after="0"/>
              <w:jc w:val="center"/>
              <w:rPr>
                <w:rFonts w:ascii="Times New Roman" w:hAnsi="Times New Roman" w:eastAsia="Times New Roman" w:cs="Times New Roman"/>
                <w:bCs/>
                <w:color w:val="000000" w:themeColor="text1"/>
                <w:sz w:val="24"/>
                <w:szCs w:val="24"/>
              </w:rPr>
            </w:pPr>
            <w:r>
              <w:rPr>
                <w:rFonts w:eastAsia="Times New Roman" w:cs="Times New Roman" w:ascii="Times New Roman" w:hAnsi="Times New Roman"/>
                <w:b/>
                <w:color w:val="000000" w:themeColor="text1"/>
                <w:sz w:val="24"/>
                <w:szCs w:val="24"/>
              </w:rPr>
              <w:t>0 – Отсутствие</w:t>
            </w:r>
          </w:p>
        </w:tc>
      </w:tr>
      <w:tr>
        <w:trPr>
          <w:cantSplit w:val="true"/>
        </w:trPr>
        <w:tc>
          <w:tcPr>
            <w:tcW w:w="935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tcPr>
          <w:p>
            <w:pPr>
              <w:pStyle w:val="Normal"/>
              <w:widowControl w:val="false"/>
              <w:spacing w:lineRule="auto" w:line="240" w:before="0" w:after="0"/>
              <w:contextualSpacing/>
              <w:jc w:val="both"/>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Cs/>
                <w:i/>
                <w:color w:val="000000" w:themeColor="text1"/>
                <w:sz w:val="24"/>
                <w:szCs w:val="24"/>
              </w:rPr>
              <w:t>Общая информация об организациях культуры, включая филиалы (при их наличии):</w:t>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 Полное наименование организации культуры</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2) Сокращенное наименование организации культуры</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3) Дата создания организации культуры</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4) Сведения об учредителе (учредителях)</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935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rPr>
                <w:rFonts w:ascii="Times New Roman" w:hAnsi="Times New Roman" w:eastAsia="Times New Roman" w:cs="Times New Roman"/>
                <w:b/>
                <w:b/>
                <w:bCs/>
                <w:color w:val="000000" w:themeColor="text1"/>
                <w:sz w:val="24"/>
                <w:szCs w:val="24"/>
              </w:rPr>
            </w:pPr>
            <w:r>
              <w:rPr>
                <w:rFonts w:eastAsia="Calibri" w:cs="Times New Roman" w:ascii="Times New Roman" w:hAnsi="Times New Roman"/>
                <w:color w:val="000000" w:themeColor="text1"/>
                <w:sz w:val="24"/>
                <w:szCs w:val="24"/>
                <w:lang w:eastAsia="en-US"/>
              </w:rPr>
              <w:t>5) Учредительные документы:</w:t>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firstLine="284"/>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5.1) Копия устава;</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firstLine="284"/>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5.2) Копия свидетельства о государственной регистрации;</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firstLine="284"/>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5.3) Копия решение учредителя о создании и о назначении руководителя организации культуры;</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firstLine="284"/>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5.4) Копия положения о филиалах и представительствах.</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6) Структура организации культуры (структура и органы управления организации культуры)</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7) Место нахождения организации культуры и ее филиалов (при наличии)</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8) Режим, график работы организации</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9) Контактные телефоны организации</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10) Адреса электронной почты организации</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11) Фамилии, имена, отчества, должности руководящего состава организации культуры, ее структурных подразделений и филиалов (при их наличии)</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935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widowControl w:val="false"/>
              <w:spacing w:lineRule="auto" w:line="240" w:before="0" w:after="0"/>
              <w:jc w:val="both"/>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Cs/>
                <w:i/>
                <w:color w:val="000000" w:themeColor="text1"/>
                <w:sz w:val="24"/>
                <w:szCs w:val="24"/>
              </w:rPr>
              <w:t>Информация о деятельности организации культуры, включая филиалы (при их наличии):</w:t>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12) Сведения о видах предоставляемых организацией культуры услуг</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13) Перечень оказываемых платных услуг</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14) Цены (тарифы) на платные услуги</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15) Копии нормативных правовых актов, устанавливающих цены (тарифы) на услуги либо порядок их установления</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16) Копия плана финансово-хозяйственной деятельности организации культуры, или бюджетной сметы (информация об объеме предоставляемых услуг) на текущий год</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17) Информация о материально-техническом обеспечении предоставления услуг организацией культуры</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18) Копии лицензий на осуществление деятельности, подлежащей лицензированию в соответствии с законодательством Российской Федерации (при наличии)</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19) Информация о планируемых мероприятиях</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20) Информация о выполнении государственного (муниципального) задания (за предыдущий период)</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21) Отчет о результатах деятельности учреждения (за предыдущий период)</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935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themeFill="background1" w:themeFillShade="d9" w:val="clear"/>
          </w:tcPr>
          <w:p>
            <w:pPr>
              <w:pStyle w:val="Normal"/>
              <w:widowControl w:val="false"/>
              <w:spacing w:lineRule="auto" w:line="240" w:before="0" w:after="0"/>
              <w:jc w:val="both"/>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Cs/>
                <w:i/>
                <w:color w:val="000000" w:themeColor="text1"/>
                <w:sz w:val="24"/>
                <w:szCs w:val="24"/>
              </w:rPr>
              <w:t>Иная информация:</w:t>
            </w:r>
          </w:p>
        </w:tc>
      </w:tr>
      <w:tr>
        <w:trPr>
          <w:cantSplit w:val="true"/>
        </w:trPr>
        <w:tc>
          <w:tcPr>
            <w:tcW w:w="935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rPr>
                <w:rFonts w:ascii="Times New Roman" w:hAnsi="Times New Roman" w:eastAsia="Times New Roman" w:cs="Times New Roman"/>
                <w:b/>
                <w:b/>
                <w:bCs/>
                <w:color w:val="000000" w:themeColor="text1"/>
                <w:sz w:val="24"/>
                <w:szCs w:val="24"/>
              </w:rPr>
            </w:pPr>
            <w:r>
              <w:rPr>
                <w:rFonts w:eastAsia="Calibri" w:cs="Times New Roman" w:ascii="Times New Roman" w:hAnsi="Times New Roman"/>
                <w:color w:val="000000" w:themeColor="text1"/>
                <w:sz w:val="24"/>
                <w:szCs w:val="24"/>
                <w:lang w:eastAsia="en-US"/>
              </w:rPr>
              <w:t>22) Информация о проведении независимой оценки качества:</w:t>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firstLine="284"/>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22.1) Планируемые сроки проведения независимой оценки качества;</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firstLine="284"/>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22.2) Результаты независимой оценки качества оказания услуг организациями культуры, в том числе предложения об улучшении качества их деятельности;</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r>
        <w:trPr>
          <w:cantSplit w:val="true"/>
        </w:trPr>
        <w:tc>
          <w:tcPr>
            <w:tcW w:w="75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firstLine="284"/>
              <w:jc w:val="both"/>
              <w:rPr>
                <w:rFonts w:ascii="Times New Roman" w:hAnsi="Times New Roman" w:eastAsia="Calibri" w:cs="Times New Roman"/>
                <w:color w:val="000000" w:themeColor="text1"/>
                <w:sz w:val="24"/>
                <w:szCs w:val="24"/>
                <w:lang w:eastAsia="en-US"/>
              </w:rPr>
            </w:pPr>
            <w:r>
              <w:rPr>
                <w:rFonts w:eastAsia="Calibri" w:cs="Times New Roman" w:ascii="Times New Roman" w:hAnsi="Times New Roman"/>
                <w:color w:val="000000" w:themeColor="text1"/>
                <w:sz w:val="24"/>
                <w:szCs w:val="24"/>
                <w:lang w:eastAsia="en-US"/>
              </w:rPr>
              <w:t>22.3) План по улучшению качества работы организации.</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contextualSpacing/>
              <w:jc w:val="center"/>
              <w:rPr>
                <w:rFonts w:ascii="Times New Roman" w:hAnsi="Times New Roman" w:eastAsia="Times New Roman" w:cs="Times New Roman"/>
                <w:b/>
                <w:b/>
                <w:bCs/>
                <w:color w:val="000000" w:themeColor="text1"/>
                <w:sz w:val="24"/>
                <w:szCs w:val="24"/>
              </w:rPr>
            </w:pPr>
            <w:r>
              <w:rPr>
                <w:rFonts w:eastAsia="Times New Roman" w:cs="Times New Roman" w:ascii="Times New Roman" w:hAnsi="Times New Roman"/>
                <w:b/>
                <w:bCs/>
                <w:color w:val="000000" w:themeColor="text1"/>
                <w:sz w:val="24"/>
                <w:szCs w:val="24"/>
              </w:rPr>
            </w:r>
          </w:p>
        </w:tc>
      </w:tr>
    </w:tbl>
    <w:p>
      <w:pPr>
        <w:pStyle w:val="Normal"/>
        <w:spacing w:lineRule="auto" w:line="360" w:before="0" w:after="0"/>
        <w:ind w:firstLine="709"/>
        <w:jc w:val="both"/>
        <w:rPr>
          <w:rFonts w:ascii="Times New Roman" w:hAnsi="Times New Roman" w:eastAsia="Calibri" w:cs="Times New Roman"/>
          <w:color w:val="000000" w:themeColor="text1"/>
          <w:sz w:val="28"/>
          <w:szCs w:val="28"/>
        </w:rPr>
      </w:pPr>
      <w:r>
        <w:rPr>
          <w:rFonts w:eastAsia="Calibri" w:cs="Times New Roman" w:ascii="Times New Roman" w:hAnsi="Times New Roman"/>
          <w:color w:val="000000" w:themeColor="text1"/>
          <w:sz w:val="28"/>
          <w:szCs w:val="28"/>
        </w:rPr>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Примечания:</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1) Требования к объему информации о деятельности организации культуры, которая должна быть размещена на общедоступных информационных ресурсах (стендах, сайте), составлены в соответствии с Приказом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w:t>
      </w:r>
    </w:p>
    <w:p>
      <w:pPr>
        <w:pStyle w:val="Normal"/>
        <w:spacing w:lineRule="auto" w:line="360" w:before="0" w:after="0"/>
        <w:ind w:firstLine="709"/>
        <w:jc w:val="both"/>
        <w:rPr>
          <w:rFonts w:ascii="Times New Roman" w:hAnsi="Times New Roman" w:eastAsia="Calibri" w:cs="Times New Roman"/>
          <w:color w:val="000000" w:themeColor="text1"/>
          <w:sz w:val="28"/>
          <w:szCs w:val="28"/>
          <w:lang w:eastAsia="en-US"/>
        </w:rPr>
      </w:pPr>
      <w:r>
        <w:rPr>
          <w:rFonts w:eastAsia="Calibri" w:cs="Times New Roman" w:ascii="Times New Roman" w:hAnsi="Times New Roman"/>
          <w:color w:val="000000" w:themeColor="text1"/>
          <w:sz w:val="28"/>
          <w:szCs w:val="28"/>
          <w:lang w:eastAsia="en-US"/>
        </w:rPr>
        <w:t>2) Оценка по пп. 1-22 таблицы Приложения 2 выставляется по результатам мониторинга информационных стендов и официального сайта организации культуры. При наличии информации выставляется оценка «1», при отсутствии – «0». По результатам мониторинга информационных стендов и официального сайта организации культуры определяется процент наличия требуемой актуальной информации. Баллы выставляются с округлением до целого в пропорции к полученному проценту полноты и актуальности (например, 93,3% = 93 балла).</w:t>
      </w:r>
    </w:p>
    <w:p>
      <w:pPr>
        <w:pStyle w:val="Normal"/>
        <w:spacing w:lineRule="auto" w:line="360" w:before="0" w:after="0"/>
        <w:ind w:firstLine="709"/>
        <w:jc w:val="both"/>
        <w:rPr/>
      </w:pPr>
      <w:r>
        <w:rPr/>
      </w:r>
    </w:p>
    <w:sectPr>
      <w:headerReference w:type="default" r:id="rId22"/>
      <w:footerReference w:type="default" r:id="rId23"/>
      <w:type w:val="nextPage"/>
      <w:pgSz w:w="11906" w:h="16838"/>
      <w:pgMar w:left="1701" w:right="850" w:header="708" w:top="1134" w:footer="708"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swiss"/>
    <w:pitch w:val="variable"/>
  </w:font>
  <w:font w:name="Arial">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94311008"/>
    </w:sdtPr>
    <w:sdtContent>
      <w:p>
        <w:pPr>
          <w:pStyle w:val="Style23"/>
          <w:spacing w:before="0" w:after="0"/>
          <w:ind w:firstLine="709"/>
          <w:jc w:val="center"/>
          <w:rPr>
            <w:rFonts w:ascii="Times New Roman" w:hAnsi="Times New Roman" w:cs="Times New Roman"/>
            <w:sz w:val="24"/>
            <w:szCs w:val="24"/>
          </w:rPr>
        </w:pPr>
        <w:r>
          <w:rPr/>
          <w:fldChar w:fldCharType="begin"/>
        </w:r>
        <w:r>
          <w:rPr/>
          <w:instrText> PAGE </w:instrText>
        </w:r>
        <w:r>
          <w:rPr/>
          <w:fldChar w:fldCharType="separate"/>
        </w:r>
        <w:r>
          <w:rPr/>
          <w:t>41</w:t>
        </w:r>
        <w:r>
          <w:rPr/>
          <w:fldChar w:fldCharType="end"/>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spacing w:before="0" w:after="200"/>
      <w:jc w:val="center"/>
      <w:rPr>
        <w:rFonts w:ascii="Times New Roman" w:hAnsi="Times New Roman" w:cs="Times New Roman"/>
        <w:sz w:val="24"/>
        <w:szCs w:val="24"/>
      </w:rPr>
    </w:pPr>
    <w:r>
      <w:rPr>
        <w:rFonts w:cs="Times New Roman" w:ascii="Times New Roman" w:hAnsi="Times New Roman"/>
        <w:sz w:val="24"/>
        <w:szCs w:val="24"/>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0671831"/>
    </w:sdtPr>
    <w:sdtContent>
      <w:p>
        <w:pPr>
          <w:pStyle w:val="Style23"/>
          <w:spacing w:before="0" w:after="0"/>
          <w:ind w:firstLine="709"/>
          <w:jc w:val="center"/>
          <w:rPr/>
        </w:pPr>
        <w:r>
          <w:rPr/>
          <w:fldChar w:fldCharType="begin"/>
        </w:r>
        <w:r>
          <w:rPr/>
          <w:instrText> PAGE </w:instrText>
        </w:r>
        <w:r>
          <w:rPr/>
          <w:fldChar w:fldCharType="separate"/>
        </w:r>
        <w:r>
          <w:rPr/>
          <w:t>44</w:t>
        </w:r>
        <w:r>
          <w:rPr/>
          <w:fldChar w:fldCharType="end"/>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76109563"/>
    </w:sdtPr>
    <w:sdtContent>
      <w:p>
        <w:pPr>
          <w:pStyle w:val="Style23"/>
          <w:spacing w:before="0" w:after="0"/>
          <w:ind w:firstLine="709"/>
          <w:jc w:val="center"/>
          <w:rPr/>
        </w:pPr>
        <w:r>
          <w:rPr/>
          <w:fldChar w:fldCharType="begin"/>
        </w:r>
        <w:r>
          <w:rPr/>
          <w:instrText> PAGE </w:instrText>
        </w:r>
        <w:r>
          <w:rPr/>
          <w:fldChar w:fldCharType="separate"/>
        </w:r>
        <w:r>
          <w:rPr/>
          <w:t>52</w:t>
        </w:r>
        <w:r>
          <w:rPr/>
          <w:fldChar w:fldCharType="end"/>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94155213"/>
    </w:sdtPr>
    <w:sdtContent>
      <w:p>
        <w:pPr>
          <w:pStyle w:val="Style23"/>
          <w:spacing w:before="0" w:after="0"/>
          <w:ind w:firstLine="709"/>
          <w:jc w:val="center"/>
          <w:rPr/>
        </w:pPr>
        <w:r>
          <w:rPr/>
          <w:fldChar w:fldCharType="begin"/>
        </w:r>
        <w:r>
          <w:rPr/>
          <w:instrText> PAGE </w:instrText>
        </w:r>
        <w:r>
          <w:rPr/>
          <w:fldChar w:fldCharType="separate"/>
        </w:r>
        <w:r>
          <w:rPr/>
          <w:t>61</w:t>
        </w:r>
        <w:r>
          <w:rPr/>
          <w:fldChar w:fldCharType="end"/>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80359656"/>
    </w:sdtPr>
    <w:sdtContent>
      <w:p>
        <w:pPr>
          <w:pStyle w:val="Style23"/>
          <w:spacing w:before="0" w:after="0"/>
          <w:ind w:firstLine="709"/>
          <w:jc w:val="center"/>
          <w:rPr/>
        </w:pPr>
        <w:r>
          <w:rPr/>
          <w:fldChar w:fldCharType="begin"/>
        </w:r>
        <w:r>
          <w:rPr/>
          <w:instrText> PAGE </w:instrText>
        </w:r>
        <w:r>
          <w:rPr/>
          <w:fldChar w:fldCharType="separate"/>
        </w:r>
        <w:r>
          <w:rPr/>
          <w:t>63</w:t>
        </w:r>
        <w:r>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spacing w:before="0" w:after="0"/>
      <w:jc w:val="center"/>
      <w:rPr>
        <w:rFonts w:ascii="Times New Roman" w:hAnsi="Times New Roman" w:cs="Times New Roman"/>
      </w:rPr>
    </w:pPr>
    <w:r>
      <w:rPr>
        <w:rFonts w:cs="Times New Roman" w:ascii="Times New Roman" w:hAnsi="Times New Roman"/>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spacing w:before="0" w:after="0"/>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tabs>
        <w:tab w:val="center" w:pos="4677" w:leader="none"/>
        <w:tab w:val="right" w:pos="9355" w:leader="none"/>
      </w:tabs>
      <w:spacing w:lineRule="auto" w:line="240" w:before="0" w:after="20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tabs>
        <w:tab w:val="center" w:pos="4677" w:leader="none"/>
        <w:tab w:val="right" w:pos="9355" w:leader="none"/>
      </w:tabs>
      <w:spacing w:lineRule="auto" w:line="240" w:before="0" w:after="200"/>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tabs>
        <w:tab w:val="center" w:pos="4677" w:leader="none"/>
        <w:tab w:val="right" w:pos="9355" w:leader="none"/>
      </w:tabs>
      <w:spacing w:lineRule="auto" w:line="240" w:before="0" w:after="200"/>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tabs>
        <w:tab w:val="center" w:pos="4677" w:leader="none"/>
        <w:tab w:val="right" w:pos="9355" w:leader="none"/>
      </w:tabs>
      <w:spacing w:lineRule="auto" w:line="240" w:before="0" w:after="20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360" w:hanging="360"/>
      </w:pPr>
    </w:lvl>
    <w:lvl w:ilvl="1">
      <w:start w:val="1"/>
      <w:numFmt w:val="decimal"/>
      <w:lvlText w:val="%2)"/>
      <w:lvlJc w:val="left"/>
      <w:pPr>
        <w:ind w:left="394" w:hanging="360"/>
      </w:pPr>
      <w:rPr>
        <w:sz w:val="24"/>
        <w:u w:val="none"/>
        <w:rFonts w:ascii="Times New Roman" w:hAnsi="Times New Roman"/>
      </w:rPr>
    </w:lvl>
    <w:lvl w:ilvl="2">
      <w:start w:val="1"/>
      <w:numFmt w:val="decimal"/>
      <w:lvlText w:val="%1.%2.%3."/>
      <w:lvlJc w:val="left"/>
      <w:pPr>
        <w:ind w:left="788" w:hanging="720"/>
      </w:pPr>
    </w:lvl>
    <w:lvl w:ilvl="3">
      <w:start w:val="1"/>
      <w:numFmt w:val="decimal"/>
      <w:lvlText w:val="%1.%2.%3.%4."/>
      <w:lvlJc w:val="left"/>
      <w:pPr>
        <w:ind w:left="822" w:hanging="720"/>
      </w:pPr>
    </w:lvl>
    <w:lvl w:ilvl="4">
      <w:start w:val="1"/>
      <w:numFmt w:val="decimal"/>
      <w:lvlText w:val="%1.%2.%3.%4.%5."/>
      <w:lvlJc w:val="left"/>
      <w:pPr>
        <w:ind w:left="1216" w:hanging="1080"/>
      </w:pPr>
    </w:lvl>
    <w:lvl w:ilvl="5">
      <w:start w:val="1"/>
      <w:numFmt w:val="decimal"/>
      <w:lvlText w:val="%1.%2.%3.%4.%5.%6."/>
      <w:lvlJc w:val="left"/>
      <w:pPr>
        <w:ind w:left="1250" w:hanging="1080"/>
      </w:pPr>
    </w:lvl>
    <w:lvl w:ilvl="6">
      <w:start w:val="1"/>
      <w:numFmt w:val="decimal"/>
      <w:lvlText w:val="%1.%2.%3.%4.%5.%6.%7."/>
      <w:lvlJc w:val="left"/>
      <w:pPr>
        <w:ind w:left="1644" w:hanging="1440"/>
      </w:pPr>
    </w:lvl>
    <w:lvl w:ilvl="7">
      <w:start w:val="1"/>
      <w:numFmt w:val="decimal"/>
      <w:lvlText w:val="%1.%2.%3.%4.%5.%6.%7.%8."/>
      <w:lvlJc w:val="left"/>
      <w:pPr>
        <w:ind w:left="1678" w:hanging="1440"/>
      </w:pPr>
    </w:lvl>
    <w:lvl w:ilvl="8">
      <w:start w:val="1"/>
      <w:numFmt w:val="decimal"/>
      <w:lvlText w:val="%1.%2.%3.%4.%5.%6.%7.%8.%9."/>
      <w:lvlJc w:val="left"/>
      <w:pPr>
        <w:ind w:left="2072" w:hanging="180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0"/>
  <w:defaultTabStop w:val="709"/>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223a5"/>
    <w:pPr>
      <w:widowControl/>
      <w:bidi w:val="0"/>
      <w:spacing w:lineRule="auto" w:line="276" w:before="0" w:after="200"/>
      <w:ind w:hanging="0"/>
      <w:jc w:val="left"/>
    </w:pPr>
    <w:rPr>
      <w:rFonts w:eastAsia="" w:eastAsiaTheme="minorEastAsia" w:ascii="Calibri" w:hAnsi="Calibri" w:cs=""/>
      <w:color w:val="auto"/>
      <w:kern w:val="0"/>
      <w:sz w:val="22"/>
      <w:szCs w:val="22"/>
      <w:lang w:eastAsia="ru-RU" w:val="ru-RU" w:bidi="ar-SA"/>
    </w:rPr>
  </w:style>
  <w:style w:type="paragraph" w:styleId="1">
    <w:name w:val="Heading 1"/>
    <w:basedOn w:val="Normal"/>
    <w:link w:val="10"/>
    <w:uiPriority w:val="9"/>
    <w:qFormat/>
    <w:rsid w:val="004b68c2"/>
    <w:pPr>
      <w:keepNext w:val="true"/>
      <w:keepLines/>
      <w:jc w:val="center"/>
      <w:outlineLvl w:val="0"/>
    </w:pPr>
    <w:rPr>
      <w:rFonts w:eastAsia="" w:cs="" w:cstheme="majorBidi" w:eastAsiaTheme="majorEastAsia"/>
      <w:b/>
      <w:bCs/>
      <w:szCs w:val="28"/>
    </w:rPr>
  </w:style>
  <w:style w:type="paragraph" w:styleId="2">
    <w:name w:val="Heading 2"/>
    <w:basedOn w:val="Normal"/>
    <w:link w:val="20"/>
    <w:uiPriority w:val="9"/>
    <w:semiHidden/>
    <w:unhideWhenUsed/>
    <w:qFormat/>
    <w:rsid w:val="004b68c2"/>
    <w:pPr>
      <w:keepNext w:val="true"/>
      <w:keepLines/>
      <w:jc w:val="center"/>
      <w:outlineLvl w:val="1"/>
    </w:pPr>
    <w:rPr>
      <w:rFonts w:eastAsia="" w:cs="" w:cstheme="majorBidi" w:eastAsiaTheme="majorEastAsia"/>
      <w:b/>
      <w:bCs/>
      <w:szCs w:val="26"/>
    </w:rPr>
  </w:style>
  <w:style w:type="paragraph" w:styleId="3">
    <w:name w:val="Heading 3"/>
    <w:basedOn w:val="Normal"/>
    <w:link w:val="30"/>
    <w:uiPriority w:val="9"/>
    <w:semiHidden/>
    <w:unhideWhenUsed/>
    <w:qFormat/>
    <w:rsid w:val="004b68c2"/>
    <w:pPr>
      <w:keepNext w:val="true"/>
      <w:keepLines/>
      <w:jc w:val="both"/>
      <w:outlineLvl w:val="2"/>
    </w:pPr>
    <w:rPr>
      <w:rFonts w:eastAsia="" w:cs="" w:cstheme="majorBidi" w:eastAsiaTheme="majorEastAsia"/>
      <w:b/>
      <w:bCs/>
    </w:rPr>
  </w:style>
  <w:style w:type="character" w:styleId="DefaultParagraphFont" w:default="1">
    <w:name w:val="Default Paragraph Font"/>
    <w:uiPriority w:val="1"/>
    <w:semiHidden/>
    <w:unhideWhenUsed/>
    <w:qFormat/>
    <w:rPr/>
  </w:style>
  <w:style w:type="character" w:styleId="21" w:customStyle="1">
    <w:name w:val="Заголовок 2 Знак"/>
    <w:basedOn w:val="DefaultParagraphFont"/>
    <w:link w:val="2"/>
    <w:uiPriority w:val="9"/>
    <w:semiHidden/>
    <w:qFormat/>
    <w:rsid w:val="004b68c2"/>
    <w:rPr>
      <w:rFonts w:ascii="Times New Roman" w:hAnsi="Times New Roman" w:eastAsia="" w:cs="" w:cstheme="majorBidi" w:eastAsiaTheme="majorEastAsia"/>
      <w:b/>
      <w:bCs/>
      <w:sz w:val="28"/>
      <w:szCs w:val="26"/>
    </w:rPr>
  </w:style>
  <w:style w:type="character" w:styleId="11" w:customStyle="1">
    <w:name w:val="Заголовок 1 Знак"/>
    <w:basedOn w:val="DefaultParagraphFont"/>
    <w:link w:val="1"/>
    <w:uiPriority w:val="9"/>
    <w:qFormat/>
    <w:rsid w:val="004b68c2"/>
    <w:rPr>
      <w:rFonts w:ascii="Times New Roman" w:hAnsi="Times New Roman" w:eastAsia="" w:cs="" w:cstheme="majorBidi" w:eastAsiaTheme="majorEastAsia"/>
      <w:b/>
      <w:bCs/>
      <w:sz w:val="28"/>
      <w:szCs w:val="28"/>
    </w:rPr>
  </w:style>
  <w:style w:type="character" w:styleId="31" w:customStyle="1">
    <w:name w:val="Заголовок 3 Знак"/>
    <w:basedOn w:val="DefaultParagraphFont"/>
    <w:link w:val="3"/>
    <w:uiPriority w:val="9"/>
    <w:semiHidden/>
    <w:qFormat/>
    <w:rsid w:val="004b68c2"/>
    <w:rPr>
      <w:rFonts w:ascii="Times New Roman" w:hAnsi="Times New Roman" w:eastAsia="" w:cs="" w:cstheme="majorBidi" w:eastAsiaTheme="majorEastAsia"/>
      <w:b/>
      <w:bCs/>
      <w:sz w:val="28"/>
    </w:rPr>
  </w:style>
  <w:style w:type="character" w:styleId="Style11" w:customStyle="1">
    <w:name w:val="Верхний колонтитул Знак"/>
    <w:basedOn w:val="DefaultParagraphFont"/>
    <w:link w:val="a3"/>
    <w:uiPriority w:val="99"/>
    <w:qFormat/>
    <w:rsid w:val="004e07d1"/>
    <w:rPr>
      <w:rFonts w:ascii="Times New Roman" w:hAnsi="Times New Roman"/>
      <w:sz w:val="28"/>
    </w:rPr>
  </w:style>
  <w:style w:type="character" w:styleId="Style12" w:customStyle="1">
    <w:name w:val="Нижний колонтитул Знак"/>
    <w:basedOn w:val="DefaultParagraphFont"/>
    <w:link w:val="a5"/>
    <w:uiPriority w:val="99"/>
    <w:qFormat/>
    <w:rsid w:val="004e07d1"/>
    <w:rPr>
      <w:rFonts w:ascii="Times New Roman" w:hAnsi="Times New Roman"/>
      <w:sz w:val="28"/>
    </w:rPr>
  </w:style>
  <w:style w:type="character" w:styleId="Style13" w:customStyle="1">
    <w:name w:val="Текст выноски Знак"/>
    <w:basedOn w:val="DefaultParagraphFont"/>
    <w:link w:val="a7"/>
    <w:uiPriority w:val="99"/>
    <w:semiHidden/>
    <w:qFormat/>
    <w:rsid w:val="004e07d1"/>
    <w:rPr>
      <w:rFonts w:ascii="Tahoma" w:hAnsi="Tahoma" w:cs="Tahoma"/>
      <w:sz w:val="16"/>
      <w:szCs w:val="16"/>
    </w:rPr>
  </w:style>
  <w:style w:type="character" w:styleId="Style14">
    <w:name w:val="Интернет-ссылка"/>
    <w:basedOn w:val="DefaultParagraphFont"/>
    <w:uiPriority w:val="99"/>
    <w:unhideWhenUsed/>
    <w:rsid w:val="00535983"/>
    <w:rPr>
      <w:color w:val="0000FF" w:themeColor="hyperlink"/>
      <w:u w:val="single"/>
    </w:rPr>
  </w:style>
  <w:style w:type="character" w:styleId="Style15" w:customStyle="1">
    <w:name w:val="Текст сноски Знак"/>
    <w:basedOn w:val="DefaultParagraphFont"/>
    <w:link w:val="ab"/>
    <w:uiPriority w:val="99"/>
    <w:semiHidden/>
    <w:qFormat/>
    <w:rsid w:val="00c11376"/>
    <w:rPr>
      <w:rFonts w:eastAsia="" w:eastAsiaTheme="minorEastAsia"/>
      <w:sz w:val="20"/>
      <w:szCs w:val="20"/>
      <w:lang w:eastAsia="ru-RU"/>
    </w:rPr>
  </w:style>
  <w:style w:type="character" w:styleId="Style16">
    <w:name w:val="Привязка сноски"/>
    <w:rPr>
      <w:vertAlign w:val="superscript"/>
    </w:rPr>
  </w:style>
  <w:style w:type="character" w:styleId="FootnoteCharacters">
    <w:name w:val="Footnote Characters"/>
    <w:basedOn w:val="DefaultParagraphFont"/>
    <w:uiPriority w:val="99"/>
    <w:semiHidden/>
    <w:unhideWhenUsed/>
    <w:qFormat/>
    <w:rsid w:val="00c11376"/>
    <w:rPr>
      <w:vertAlign w:val="superscript"/>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Times New Roman"/>
      <w:color w:val="333333"/>
      <w:sz w:val="28"/>
      <w:szCs w:val="28"/>
    </w:rPr>
  </w:style>
  <w:style w:type="character" w:styleId="ListLabel5">
    <w:name w:val="ListLabel 5"/>
    <w:qFormat/>
    <w:rPr>
      <w:color w:val="333333"/>
      <w:sz w:val="28"/>
      <w:szCs w:val="28"/>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ascii="Times New Roman" w:hAnsi="Times New Roman"/>
      <w:sz w:val="24"/>
      <w:u w:val="none"/>
    </w:rPr>
  </w:style>
  <w:style w:type="character" w:styleId="ListLabel10">
    <w:name w:val="ListLabel 10"/>
    <w:qFormat/>
    <w:rPr>
      <w:rFonts w:ascii="Times New Roman" w:hAnsi="Times New Roman" w:cs="Times New Roman"/>
      <w:color w:val="000000" w:themeColor="text1"/>
      <w:sz w:val="28"/>
      <w:szCs w:val="28"/>
    </w:rPr>
  </w:style>
  <w:style w:type="character" w:styleId="ListLabel11">
    <w:name w:val="ListLabel 11"/>
    <w:qFormat/>
    <w:rPr>
      <w:rFonts w:ascii="Times New Roman" w:hAnsi="Times New Roman" w:eastAsia="Calibri" w:cs="Times New Roman"/>
      <w:color w:val="000000" w:themeColor="text1"/>
      <w:sz w:val="28"/>
      <w:szCs w:val="28"/>
      <w:u w:val="single"/>
      <w:lang w:eastAsia="en-US"/>
    </w:rPr>
  </w:style>
  <w:style w:type="paragraph" w:styleId="Style17">
    <w:name w:val="Заголовок"/>
    <w:basedOn w:val="Normal"/>
    <w:next w:val="Style18"/>
    <w:qFormat/>
    <w:pPr>
      <w:keepNext w:val="true"/>
      <w:spacing w:before="240" w:after="120"/>
    </w:pPr>
    <w:rPr>
      <w:rFonts w:ascii="Liberation Sans" w:hAnsi="Liberation Sans" w:eastAsia="Microsoft YaHei" w:cs="Arial"/>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Arial"/>
    </w:rPr>
  </w:style>
  <w:style w:type="paragraph" w:styleId="Style20">
    <w:name w:val="Caption"/>
    <w:basedOn w:val="Normal"/>
    <w:qFormat/>
    <w:pPr>
      <w:suppressLineNumbers/>
      <w:spacing w:before="120" w:after="120"/>
    </w:pPr>
    <w:rPr>
      <w:rFonts w:cs="Arial"/>
      <w:i/>
      <w:iCs/>
      <w:sz w:val="24"/>
      <w:szCs w:val="24"/>
    </w:rPr>
  </w:style>
  <w:style w:type="paragraph" w:styleId="Style21">
    <w:name w:val="Указатель"/>
    <w:basedOn w:val="Normal"/>
    <w:qFormat/>
    <w:pPr>
      <w:suppressLineNumbers/>
    </w:pPr>
    <w:rPr>
      <w:rFonts w:cs="Arial"/>
    </w:rPr>
  </w:style>
  <w:style w:type="paragraph" w:styleId="Style22">
    <w:name w:val="Header"/>
    <w:basedOn w:val="Normal"/>
    <w:link w:val="a4"/>
    <w:uiPriority w:val="99"/>
    <w:unhideWhenUsed/>
    <w:rsid w:val="004e07d1"/>
    <w:pPr>
      <w:tabs>
        <w:tab w:val="center" w:pos="4677" w:leader="none"/>
        <w:tab w:val="right" w:pos="9355" w:leader="none"/>
      </w:tabs>
      <w:spacing w:lineRule="auto" w:line="240"/>
    </w:pPr>
    <w:rPr/>
  </w:style>
  <w:style w:type="paragraph" w:styleId="Style23">
    <w:name w:val="Footer"/>
    <w:basedOn w:val="Normal"/>
    <w:link w:val="a6"/>
    <w:uiPriority w:val="99"/>
    <w:unhideWhenUsed/>
    <w:rsid w:val="004e07d1"/>
    <w:pPr>
      <w:tabs>
        <w:tab w:val="center" w:pos="4677" w:leader="none"/>
        <w:tab w:val="right" w:pos="9355" w:leader="none"/>
      </w:tabs>
      <w:spacing w:lineRule="auto" w:line="240"/>
    </w:pPr>
    <w:rPr/>
  </w:style>
  <w:style w:type="paragraph" w:styleId="BalloonText">
    <w:name w:val="Balloon Text"/>
    <w:basedOn w:val="Normal"/>
    <w:link w:val="a8"/>
    <w:uiPriority w:val="99"/>
    <w:semiHidden/>
    <w:unhideWhenUsed/>
    <w:qFormat/>
    <w:rsid w:val="004e07d1"/>
    <w:pPr>
      <w:spacing w:lineRule="auto" w:line="240"/>
    </w:pPr>
    <w:rPr>
      <w:rFonts w:ascii="Tahoma" w:hAnsi="Tahoma" w:cs="Tahoma"/>
      <w:sz w:val="16"/>
      <w:szCs w:val="16"/>
    </w:rPr>
  </w:style>
  <w:style w:type="paragraph" w:styleId="ConsPlusNormal" w:customStyle="1">
    <w:name w:val="ConsPlusNormal"/>
    <w:qFormat/>
    <w:rsid w:val="00f67f90"/>
    <w:pPr>
      <w:widowControl w:val="false"/>
      <w:bidi w:val="0"/>
      <w:spacing w:lineRule="auto" w:line="240"/>
      <w:ind w:hanging="0"/>
      <w:jc w:val="left"/>
    </w:pPr>
    <w:rPr>
      <w:rFonts w:ascii="Arial" w:hAnsi="Arial" w:eastAsia="" w:cs="Arial" w:eastAsiaTheme="minorEastAsia"/>
      <w:color w:val="auto"/>
      <w:kern w:val="0"/>
      <w:sz w:val="20"/>
      <w:szCs w:val="20"/>
      <w:lang w:eastAsia="ru-RU" w:val="ru-RU" w:bidi="ar-SA"/>
    </w:rPr>
  </w:style>
  <w:style w:type="paragraph" w:styleId="12">
    <w:name w:val="TOC 1"/>
    <w:basedOn w:val="Normal"/>
    <w:autoRedefine/>
    <w:uiPriority w:val="39"/>
    <w:unhideWhenUsed/>
    <w:rsid w:val="006c7f45"/>
    <w:pPr>
      <w:tabs>
        <w:tab w:val="right" w:pos="9345" w:leader="dot"/>
      </w:tabs>
      <w:spacing w:lineRule="auto" w:line="360" w:before="0" w:after="0"/>
    </w:pPr>
    <w:rPr/>
  </w:style>
  <w:style w:type="paragraph" w:styleId="Style24">
    <w:name w:val="Footnote Text"/>
    <w:basedOn w:val="Normal"/>
    <w:link w:val="ac"/>
    <w:uiPriority w:val="99"/>
    <w:semiHidden/>
    <w:unhideWhenUsed/>
    <w:rsid w:val="00c11376"/>
    <w:pPr>
      <w:spacing w:lineRule="auto" w:line="240" w:before="0" w:after="0"/>
    </w:pPr>
    <w:rPr>
      <w:sz w:val="20"/>
      <w:szCs w:val="20"/>
    </w:rPr>
  </w:style>
  <w:style w:type="paragraph" w:styleId="ListParagraph">
    <w:name w:val="List Paragraph"/>
    <w:basedOn w:val="Normal"/>
    <w:uiPriority w:val="34"/>
    <w:qFormat/>
    <w:rsid w:val="0096405f"/>
    <w:pPr>
      <w:spacing w:before="0" w:after="200"/>
      <w:ind w:left="720" w:hanging="0"/>
      <w:contextualSpacing/>
    </w:pPr>
    <w:rPr>
      <w:rFonts w:eastAsia="Calibri" w:eastAsiaTheme="minorHAnsi"/>
      <w:lang w:eastAsia="en-US"/>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22">
    <w:name w:val="Сетка таблицы22"/>
    <w:basedOn w:val="a1"/>
    <w:uiPriority w:val="59"/>
    <w:rsid w:val="00b51920"/>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aa">
    <w:name w:val="Table Grid"/>
    <w:basedOn w:val="a1"/>
    <w:uiPriority w:val="59"/>
    <w:rsid w:val="00b51920"/>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
    <w:name w:val="Сетка таблицы4"/>
    <w:basedOn w:val="a1"/>
    <w:uiPriority w:val="59"/>
    <w:rsid w:val="00164c9f"/>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
    <w:name w:val="Сетка таблицы1"/>
    <w:basedOn w:val="a1"/>
    <w:uiPriority w:val="59"/>
    <w:rsid w:val="00002017"/>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
    <w:name w:val="Сетка таблицы6"/>
    <w:basedOn w:val="a1"/>
    <w:uiPriority w:val="59"/>
    <w:rsid w:val="00bb4175"/>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hyperlink" Target="http://bus.gov.ru/" TargetMode="Externa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bus.gov.ru/" TargetMode="External"/><Relationship Id="rId15" Type="http://schemas.openxmlformats.org/officeDocument/2006/relationships/image" Target="media/image8.png"/><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20" Type="http://schemas.openxmlformats.org/officeDocument/2006/relationships/header" Target="header5.xml"/><Relationship Id="rId21" Type="http://schemas.openxmlformats.org/officeDocument/2006/relationships/footer" Target="footer5.xml"/><Relationship Id="rId22" Type="http://schemas.openxmlformats.org/officeDocument/2006/relationships/header" Target="header6.xml"/><Relationship Id="rId23" Type="http://schemas.openxmlformats.org/officeDocument/2006/relationships/footer" Target="footer6.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78D8F-B884-4D44-9269-B3FD11DB4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Application>LibreOffice/6.0.5.2$Windows_x86 LibreOffice_project/54c8cbb85f300ac59db32fe8a675ff7683cd5a16</Application>
  <Pages>63</Pages>
  <Words>9993</Words>
  <Characters>72959</Characters>
  <CharactersWithSpaces>81993</CharactersWithSpaces>
  <Paragraphs>1154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2020-12-07T05:57:00Z</dcterms:created>
  <dc:creator/>
  <dc:description/>
  <dc:language>ru-RU</dc:language>
  <cp:lastModifiedBy/>
  <cp:lastPrinted>2020-10-22T11:45:00Z</cp:lastPrinted>
  <dcterms:modified xsi:type="dcterms:W3CDTF">2020-12-15T13:58:36Z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